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41B91" w:rsidRDefault="0025106C" w:rsidP="00DD631A">
      <w:pPr>
        <w:pStyle w:val="af2"/>
        <w:ind w:leftChars="83" w:left="282"/>
      </w:pPr>
      <w:r w:rsidRPr="00741B91">
        <w:rPr>
          <w:rFonts w:hint="eastAsia"/>
        </w:rPr>
        <w:t>糾正案文</w:t>
      </w:r>
    </w:p>
    <w:p w:rsidR="00E25849" w:rsidRPr="00741B91" w:rsidRDefault="0025106C" w:rsidP="00F231DC">
      <w:pPr>
        <w:pStyle w:val="1"/>
      </w:pPr>
      <w:r w:rsidRPr="00741B91">
        <w:rPr>
          <w:rFonts w:hint="eastAsia"/>
        </w:rPr>
        <w:t>被糾正機關：</w:t>
      </w:r>
      <w:r w:rsidR="00C3421F" w:rsidRPr="00741B91">
        <w:rPr>
          <w:rFonts w:hint="eastAsia"/>
        </w:rPr>
        <w:t>法務部</w:t>
      </w:r>
      <w:r w:rsidRPr="00741B91">
        <w:rPr>
          <w:rFonts w:hint="eastAsia"/>
        </w:rPr>
        <w:t>。</w:t>
      </w:r>
    </w:p>
    <w:p w:rsidR="00E25849" w:rsidRPr="00741B91" w:rsidRDefault="0025106C" w:rsidP="00AF32BA">
      <w:pPr>
        <w:pStyle w:val="1"/>
      </w:pPr>
      <w:r w:rsidRPr="00741B91">
        <w:rPr>
          <w:rFonts w:hint="eastAsia"/>
        </w:rPr>
        <w:t>案　　　由：</w:t>
      </w:r>
      <w:r w:rsidR="00EF0DF2" w:rsidRPr="00741B91">
        <w:rPr>
          <w:rFonts w:hint="eastAsia"/>
        </w:rPr>
        <w:t>法務部未善盡監督職責，任令現行規範政風人員權限之相關法規內容未盡明確，逾越一般人所得預見與理解，核與法律明確性原則不符，</w:t>
      </w:r>
      <w:r w:rsidR="00AF32BA" w:rsidRPr="00741B91">
        <w:rPr>
          <w:rFonts w:hint="eastAsia"/>
        </w:rPr>
        <w:t>致部分政風人員職權之行使</w:t>
      </w:r>
      <w:r w:rsidR="00CF47AA" w:rsidRPr="00741B91">
        <w:rPr>
          <w:rFonts w:hint="eastAsia"/>
        </w:rPr>
        <w:t>未能認識職權行使過程及手段須合於比例原則及權力分立原則，</w:t>
      </w:r>
      <w:r w:rsidR="00AF32BA" w:rsidRPr="00741B91">
        <w:rPr>
          <w:rFonts w:hint="eastAsia"/>
        </w:rPr>
        <w:t>超出行政權範疇</w:t>
      </w:r>
      <w:r w:rsidR="00EF0DF2" w:rsidRPr="00741B91">
        <w:rPr>
          <w:rFonts w:hint="eastAsia"/>
        </w:rPr>
        <w:t>，肇致逾越權限侵害人民權益之案例發生，引發社會質疑，核有違失</w:t>
      </w:r>
      <w:r w:rsidR="008B4841" w:rsidRPr="00741B91">
        <w:rPr>
          <w:rFonts w:hAnsi="標楷體" w:hint="eastAsia"/>
        </w:rPr>
        <w:t>，</w:t>
      </w:r>
      <w:proofErr w:type="gramStart"/>
      <w:r w:rsidR="008B4841" w:rsidRPr="00741B91">
        <w:rPr>
          <w:rFonts w:hint="eastAsia"/>
        </w:rPr>
        <w:t>爰</w:t>
      </w:r>
      <w:proofErr w:type="gramEnd"/>
      <w:r w:rsidR="008B4841" w:rsidRPr="00741B91">
        <w:rPr>
          <w:rFonts w:hint="eastAsia"/>
        </w:rPr>
        <w:t>依法提案糾正</w:t>
      </w:r>
      <w:r w:rsidRPr="00741B91">
        <w:rPr>
          <w:rFonts w:hint="eastAsia"/>
        </w:rPr>
        <w:t>。</w:t>
      </w:r>
    </w:p>
    <w:p w:rsidR="00E25849" w:rsidRPr="00741B9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41B9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741B91" w:rsidRDefault="00C3421F"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41B91">
        <w:t>我國政風機構與人員之設置，</w:t>
      </w:r>
      <w:proofErr w:type="gramStart"/>
      <w:r w:rsidRPr="00741B91">
        <w:t>原係機關防</w:t>
      </w:r>
      <w:proofErr w:type="gramEnd"/>
      <w:r w:rsidRPr="00741B91">
        <w:t>制貪瀆的內部控制機制，惟近期部分政風機構與人員進行內部調查所採取之手段，因涉有逾越權限及違反比例原則之虞，引發社會爭議。</w:t>
      </w:r>
      <w:r w:rsidRPr="00741B91">
        <w:rPr>
          <w:rFonts w:hint="eastAsia"/>
        </w:rPr>
        <w:t>案經調閱法務部等機關卷證資料</w:t>
      </w:r>
      <w:proofErr w:type="gramStart"/>
      <w:r w:rsidRPr="00741B91">
        <w:rPr>
          <w:rFonts w:hint="eastAsia"/>
        </w:rPr>
        <w:t>詳予審閱</w:t>
      </w:r>
      <w:proofErr w:type="gramEnd"/>
      <w:r w:rsidRPr="00741B91">
        <w:rPr>
          <w:rFonts w:hint="eastAsia"/>
        </w:rPr>
        <w:t>，並於民國(下同)106年7月21日詢問法務部暨法務部廉政署(</w:t>
      </w:r>
      <w:proofErr w:type="gramStart"/>
      <w:r w:rsidRPr="00741B91">
        <w:rPr>
          <w:rFonts w:hint="eastAsia"/>
        </w:rPr>
        <w:t>下稱廉政</w:t>
      </w:r>
      <w:proofErr w:type="gramEnd"/>
      <w:r w:rsidRPr="00741B91">
        <w:rPr>
          <w:rFonts w:hint="eastAsia"/>
        </w:rPr>
        <w:t>署)相關主管及承辦人員，案經</w:t>
      </w:r>
      <w:proofErr w:type="gramStart"/>
      <w:r w:rsidRPr="00741B91">
        <w:rPr>
          <w:rFonts w:hint="eastAsia"/>
        </w:rPr>
        <w:t>調查竣事</w:t>
      </w:r>
      <w:proofErr w:type="gramEnd"/>
      <w:r w:rsidRPr="00741B91">
        <w:rPr>
          <w:rFonts w:hint="eastAsia"/>
        </w:rPr>
        <w:t>，確有下列失當之處</w:t>
      </w:r>
      <w:r w:rsidR="00C65AFF" w:rsidRPr="00741B91">
        <w:rPr>
          <w:rFonts w:hint="eastAsia"/>
        </w:rPr>
        <w:t>，</w:t>
      </w:r>
      <w:r w:rsidR="007666F5" w:rsidRPr="00741B91">
        <w:rPr>
          <w:rFonts w:hint="eastAsia"/>
          <w:bCs/>
        </w:rPr>
        <w:t>應予糾正促其注意改善。茲</w:t>
      </w:r>
      <w:proofErr w:type="gramStart"/>
      <w:r w:rsidR="007666F5" w:rsidRPr="00741B91">
        <w:rPr>
          <w:rFonts w:hint="eastAsia"/>
          <w:bCs/>
        </w:rPr>
        <w:t>臚</w:t>
      </w:r>
      <w:proofErr w:type="gramEnd"/>
      <w:r w:rsidR="007666F5" w:rsidRPr="00741B91">
        <w:rPr>
          <w:rFonts w:hint="eastAsia"/>
          <w:bCs/>
        </w:rPr>
        <w:t>列事實與理由如下</w:t>
      </w:r>
      <w:r w:rsidR="00B83C6B" w:rsidRPr="00741B91">
        <w:rPr>
          <w:rFonts w:hAnsi="標楷體" w:hint="eastAsia"/>
          <w:spacing w:val="-6"/>
        </w:rPr>
        <w:t>：</w:t>
      </w:r>
    </w:p>
    <w:p w:rsidR="00CF47AA" w:rsidRPr="00741B91" w:rsidRDefault="00CF47AA" w:rsidP="00CF47AA">
      <w:pPr>
        <w:pStyle w:val="2"/>
        <w:numPr>
          <w:ilvl w:val="1"/>
          <w:numId w:val="1"/>
        </w:numPr>
        <w:rPr>
          <w:b w:val="0"/>
        </w:rPr>
      </w:pPr>
      <w:bookmarkStart w:id="41" w:name="_Toc421794870"/>
      <w:bookmarkStart w:id="42" w:name="_Toc422728952"/>
      <w:r w:rsidRPr="00741B91">
        <w:rPr>
          <w:rFonts w:hint="eastAsia"/>
        </w:rPr>
        <w:t>法務部未善盡監督職責，任令現行規範政風人員權限之相關法規內容未盡明確，逾越一般人所得預見與理解，核與法律明確性原則不符，致使基層政風人員無所適從，核有未當</w:t>
      </w:r>
    </w:p>
    <w:p w:rsidR="00CF47AA" w:rsidRPr="00741B91" w:rsidRDefault="00CF47AA" w:rsidP="00CF47AA">
      <w:pPr>
        <w:pStyle w:val="3"/>
        <w:numPr>
          <w:ilvl w:val="2"/>
          <w:numId w:val="1"/>
        </w:numPr>
      </w:pPr>
      <w:r w:rsidRPr="00741B91">
        <w:rPr>
          <w:rFonts w:hint="eastAsia"/>
        </w:rPr>
        <w:t>人民自由及權利之限制，依憲法第23條規定，應以法律定之。其得由法律授權以命令為補充規定者，則授權之目的、內容及範圍應具體明確，始得據以發布命令，司法院釋字第570號解釋有明文。又法律明確性之要求，非僅指法律文義具體詳盡之體例而</w:t>
      </w:r>
      <w:r w:rsidRPr="00741B91">
        <w:rPr>
          <w:rFonts w:hint="eastAsia"/>
        </w:rPr>
        <w:lastRenderedPageBreak/>
        <w:t>言，立法者於立法</w:t>
      </w:r>
      <w:proofErr w:type="gramStart"/>
      <w:r w:rsidRPr="00741B91">
        <w:rPr>
          <w:rFonts w:hint="eastAsia"/>
        </w:rPr>
        <w:t>定制時</w:t>
      </w:r>
      <w:proofErr w:type="gramEnd"/>
      <w:r w:rsidRPr="00741B91">
        <w:rPr>
          <w:rFonts w:hint="eastAsia"/>
        </w:rPr>
        <w:t>，</w:t>
      </w:r>
      <w:proofErr w:type="gramStart"/>
      <w:r w:rsidRPr="00741B91">
        <w:rPr>
          <w:rFonts w:hint="eastAsia"/>
        </w:rPr>
        <w:t>仍得衡酌</w:t>
      </w:r>
      <w:proofErr w:type="gramEnd"/>
      <w:r w:rsidRPr="00741B91">
        <w:rPr>
          <w:rFonts w:hint="eastAsia"/>
        </w:rPr>
        <w:t>法律所規範生活事實之複雜性及適用於個案之妥當性，從立法上適當運用不確定法律概念而為相應之規定。如法律規定之意義，自立法目的與法體系整體關聯性觀點非難以理解，且個案事實是否屬於法律所欲規範之對象，為一般受規範者所得預見，並可經由司法審查加以認定及判斷者，即無違反法律明確性原則（司法院釋字第432號、第521號、第594號、第602號及第690號解釋參照）。</w:t>
      </w:r>
    </w:p>
    <w:p w:rsidR="00CF47AA" w:rsidRPr="00741B91" w:rsidRDefault="00CF47AA" w:rsidP="00CF47AA">
      <w:pPr>
        <w:pStyle w:val="3"/>
        <w:numPr>
          <w:ilvl w:val="2"/>
          <w:numId w:val="1"/>
        </w:numPr>
      </w:pPr>
      <w:proofErr w:type="gramStart"/>
      <w:r w:rsidRPr="00741B91">
        <w:rPr>
          <w:rFonts w:hint="eastAsia"/>
        </w:rPr>
        <w:t>按政風</w:t>
      </w:r>
      <w:proofErr w:type="gramEnd"/>
      <w:r w:rsidRPr="00741B91">
        <w:rPr>
          <w:rFonts w:hint="eastAsia"/>
        </w:rPr>
        <w:t>人員設置管理條例(</w:t>
      </w:r>
      <w:proofErr w:type="gramStart"/>
      <w:r w:rsidRPr="00741B91">
        <w:rPr>
          <w:rFonts w:hint="eastAsia"/>
        </w:rPr>
        <w:t>下稱政風</w:t>
      </w:r>
      <w:proofErr w:type="gramEnd"/>
      <w:r w:rsidRPr="00741B91">
        <w:rPr>
          <w:rFonts w:hint="eastAsia"/>
        </w:rPr>
        <w:t>條例)第4條第5款至第9款規定：「政風機構掌理事項如下：…</w:t>
      </w:r>
      <w:proofErr w:type="gramStart"/>
      <w:r w:rsidRPr="00741B91">
        <w:rPr>
          <w:rFonts w:hint="eastAsia"/>
        </w:rPr>
        <w:t>…</w:t>
      </w:r>
      <w:proofErr w:type="gramEnd"/>
      <w:r w:rsidRPr="00741B91">
        <w:rPr>
          <w:rFonts w:hint="eastAsia"/>
        </w:rPr>
        <w:t>五、機關有關之貪瀆與不法事項之處理。六、對於具有貪瀆風險業務之清查。七、機關公務機密維護之處理及協調。八、機關安全維護之處理及協調。九、其他有關政風事項。」是項法律規定，涉及政風機構與人員職掌與權限範圍，自應本諸前揭司法院解釋之意旨，從立法目的與法體系整體關聯性觀點，須非難以理解，且個案事實屬於法律所欲規範之對象，為一般受規範者所得預見，並可經由司法審查加以認定及判斷者，否則，即與法律明確性原則有違。</w:t>
      </w:r>
    </w:p>
    <w:p w:rsidR="00CF47AA" w:rsidRPr="00741B91" w:rsidRDefault="00CF47AA" w:rsidP="00CF47AA">
      <w:pPr>
        <w:pStyle w:val="3"/>
        <w:numPr>
          <w:ilvl w:val="2"/>
          <w:numId w:val="1"/>
        </w:numPr>
      </w:pPr>
      <w:r w:rsidRPr="00741B91">
        <w:rPr>
          <w:rFonts w:hint="eastAsia"/>
        </w:rPr>
        <w:t>查</w:t>
      </w:r>
      <w:proofErr w:type="gramStart"/>
      <w:r w:rsidRPr="00741B91">
        <w:rPr>
          <w:rFonts w:hint="eastAsia"/>
        </w:rPr>
        <w:t>前揭政風</w:t>
      </w:r>
      <w:proofErr w:type="gramEnd"/>
      <w:r w:rsidRPr="00741B91">
        <w:rPr>
          <w:rFonts w:hint="eastAsia"/>
        </w:rPr>
        <w:t>條例第4條第5款至第9款</w:t>
      </w:r>
      <w:proofErr w:type="gramStart"/>
      <w:r w:rsidRPr="00741B91">
        <w:rPr>
          <w:rFonts w:hint="eastAsia"/>
        </w:rPr>
        <w:t>明定政風</w:t>
      </w:r>
      <w:proofErr w:type="gramEnd"/>
      <w:r w:rsidRPr="00741B91">
        <w:rPr>
          <w:rFonts w:hint="eastAsia"/>
        </w:rPr>
        <w:t>人員權限，各款所定「處理」、「清查」及「處理及協調」之內涵與作業方式，於訂定相關授權命令或行政規則時，自應注意其與法體系整體關聯性觀點，</w:t>
      </w:r>
      <w:proofErr w:type="gramStart"/>
      <w:r w:rsidRPr="00741B91">
        <w:rPr>
          <w:rFonts w:hint="eastAsia"/>
        </w:rPr>
        <w:t>明確律定政</w:t>
      </w:r>
      <w:proofErr w:type="gramEnd"/>
      <w:r w:rsidRPr="00741B91">
        <w:rPr>
          <w:rFonts w:hint="eastAsia"/>
        </w:rPr>
        <w:t>風職權之界限，以符法律明確性之要求。</w:t>
      </w:r>
      <w:proofErr w:type="gramStart"/>
      <w:r w:rsidRPr="00741B91">
        <w:rPr>
          <w:rFonts w:hint="eastAsia"/>
        </w:rPr>
        <w:t>然查</w:t>
      </w:r>
      <w:proofErr w:type="gramEnd"/>
      <w:r w:rsidRPr="00741B91">
        <w:rPr>
          <w:rFonts w:hint="eastAsia"/>
        </w:rPr>
        <w:t>，政風條例施行細則、政風機構維護公務機密作業要點、政風查處機動小組等規定，竟包括「查察」、「調查」、「調閱」、「</w:t>
      </w:r>
      <w:proofErr w:type="gramStart"/>
      <w:r w:rsidRPr="00741B91">
        <w:rPr>
          <w:rFonts w:hint="eastAsia"/>
        </w:rPr>
        <w:t>蒐</w:t>
      </w:r>
      <w:proofErr w:type="gramEnd"/>
      <w:r w:rsidRPr="00741B91">
        <w:rPr>
          <w:rFonts w:hint="eastAsia"/>
        </w:rPr>
        <w:t>證」等，不但部分文字與刑</w:t>
      </w:r>
      <w:r w:rsidRPr="00741B91">
        <w:rPr>
          <w:rFonts w:hint="eastAsia"/>
        </w:rPr>
        <w:lastRenderedPageBreak/>
        <w:t>事司法偵查權</w:t>
      </w:r>
      <w:r w:rsidRPr="00741B91">
        <w:rPr>
          <w:rStyle w:val="afc"/>
        </w:rPr>
        <w:footnoteReference w:id="1"/>
      </w:r>
      <w:r w:rsidRPr="00741B91">
        <w:rPr>
          <w:rFonts w:hint="eastAsia"/>
        </w:rPr>
        <w:t>、監察調查權</w:t>
      </w:r>
      <w:r w:rsidRPr="00741B91">
        <w:rPr>
          <w:rStyle w:val="afc"/>
        </w:rPr>
        <w:footnoteReference w:id="2"/>
      </w:r>
      <w:r w:rsidRPr="00741B91">
        <w:rPr>
          <w:rFonts w:hint="eastAsia"/>
        </w:rPr>
        <w:t>、國會調查(閱)權</w:t>
      </w:r>
      <w:r w:rsidRPr="00741B91">
        <w:rPr>
          <w:rStyle w:val="afc"/>
        </w:rPr>
        <w:footnoteReference w:id="3"/>
      </w:r>
      <w:r w:rsidRPr="00741B91">
        <w:rPr>
          <w:rFonts w:hint="eastAsia"/>
        </w:rPr>
        <w:t>相關法規文字相同，作業方式(諸如</w:t>
      </w:r>
      <w:r w:rsidRPr="00741B91">
        <w:rPr>
          <w:rFonts w:hAnsi="標楷體" w:hint="eastAsia"/>
          <w:szCs w:val="32"/>
        </w:rPr>
        <w:t>調卷、訪談、諮詢、動態</w:t>
      </w:r>
      <w:proofErr w:type="gramStart"/>
      <w:r w:rsidRPr="00741B91">
        <w:rPr>
          <w:rFonts w:hAnsi="標楷體" w:hint="eastAsia"/>
          <w:szCs w:val="32"/>
        </w:rPr>
        <w:t>蒐</w:t>
      </w:r>
      <w:proofErr w:type="gramEnd"/>
      <w:r w:rsidRPr="00741B91">
        <w:rPr>
          <w:rFonts w:hAnsi="標楷體" w:hint="eastAsia"/>
          <w:szCs w:val="32"/>
        </w:rPr>
        <w:t>證跟監、現地會</w:t>
      </w:r>
      <w:proofErr w:type="gramStart"/>
      <w:r w:rsidRPr="00741B91">
        <w:rPr>
          <w:rFonts w:hAnsi="標楷體" w:hint="eastAsia"/>
          <w:szCs w:val="32"/>
        </w:rPr>
        <w:t>勘</w:t>
      </w:r>
      <w:proofErr w:type="gramEnd"/>
      <w:r w:rsidRPr="00741B91">
        <w:rPr>
          <w:rFonts w:hAnsi="標楷體" w:hint="eastAsia"/>
          <w:szCs w:val="32"/>
        </w:rPr>
        <w:t>、取樣鑑定、檢閱文件檔案、調取公務電話之通話明細等</w:t>
      </w:r>
      <w:r w:rsidRPr="00741B91">
        <w:rPr>
          <w:rFonts w:hint="eastAsia"/>
        </w:rPr>
        <w:t>)亦具高度重疊性，又欠缺行政調查在法體系下行使界限之關聯性規範，難認已符合法律明確性之要求。然則刑事司法偵查權、監察調查權與國會調查(閱)權等權限，因實施方式涉及人民自由與權利甚</w:t>
      </w:r>
      <w:proofErr w:type="gramStart"/>
      <w:r w:rsidRPr="00741B91">
        <w:rPr>
          <w:rFonts w:hint="eastAsia"/>
        </w:rPr>
        <w:t>鉅</w:t>
      </w:r>
      <w:proofErr w:type="gramEnd"/>
      <w:r w:rsidRPr="00741B91">
        <w:rPr>
          <w:rFonts w:hint="eastAsia"/>
        </w:rPr>
        <w:t>，</w:t>
      </w:r>
      <w:proofErr w:type="gramStart"/>
      <w:r w:rsidRPr="00741B91">
        <w:rPr>
          <w:rFonts w:hint="eastAsia"/>
        </w:rPr>
        <w:t>故均以法律</w:t>
      </w:r>
      <w:proofErr w:type="gramEnd"/>
      <w:r w:rsidRPr="00741B91">
        <w:rPr>
          <w:rFonts w:hint="eastAsia"/>
        </w:rPr>
        <w:t>明文規範，或以明確之目的、內容及範圍授權法規命令定之。而政風條例所定「處理」、「清查」及「處理及協調」之手段，竟衍生出包括</w:t>
      </w:r>
      <w:r w:rsidRPr="00741B91">
        <w:rPr>
          <w:rFonts w:hAnsi="標楷體" w:hint="eastAsia"/>
          <w:szCs w:val="32"/>
        </w:rPr>
        <w:t>調卷、訪談、諮詢、動態</w:t>
      </w:r>
      <w:proofErr w:type="gramStart"/>
      <w:r w:rsidRPr="00741B91">
        <w:rPr>
          <w:rFonts w:hAnsi="標楷體" w:hint="eastAsia"/>
          <w:szCs w:val="32"/>
        </w:rPr>
        <w:t>蒐</w:t>
      </w:r>
      <w:proofErr w:type="gramEnd"/>
      <w:r w:rsidRPr="00741B91">
        <w:rPr>
          <w:rFonts w:hAnsi="標楷體" w:hint="eastAsia"/>
          <w:szCs w:val="32"/>
        </w:rPr>
        <w:t>證跟監、現地會</w:t>
      </w:r>
      <w:proofErr w:type="gramStart"/>
      <w:r w:rsidRPr="00741B91">
        <w:rPr>
          <w:rFonts w:hAnsi="標楷體" w:hint="eastAsia"/>
          <w:szCs w:val="32"/>
        </w:rPr>
        <w:t>勘</w:t>
      </w:r>
      <w:proofErr w:type="gramEnd"/>
      <w:r w:rsidRPr="00741B91">
        <w:rPr>
          <w:rFonts w:hAnsi="標楷體" w:hint="eastAsia"/>
          <w:szCs w:val="32"/>
        </w:rPr>
        <w:t>、取樣鑑定、檢閱文件檔案、調取公務電話之通話明細等，又無在「權力分立」限制下，明定其目的與範圍，</w:t>
      </w:r>
      <w:r w:rsidRPr="00741B91">
        <w:rPr>
          <w:rFonts w:hint="eastAsia"/>
        </w:rPr>
        <w:t>顯然超出一般人所得預見與理解，難謂符合授權明確性而與法律明確性原則相悖，基層政風同仁執行上開規定職務時將無所適從，更易肇生政風人員因貪功搶快，利用法律職權界限之不明確，而引發侵害人權之疑慮，甚至誤蹈法網。</w:t>
      </w:r>
    </w:p>
    <w:p w:rsidR="00CF47AA" w:rsidRPr="00741B91" w:rsidRDefault="00CF47AA" w:rsidP="00CF47AA">
      <w:pPr>
        <w:pStyle w:val="3"/>
        <w:numPr>
          <w:ilvl w:val="2"/>
          <w:numId w:val="1"/>
        </w:numPr>
      </w:pPr>
      <w:r w:rsidRPr="00741B91">
        <w:rPr>
          <w:rFonts w:hint="eastAsia"/>
        </w:rPr>
        <w:t>綜上，現行政風機構與人員所得行使權限之內容與範圍，未盡明確，政風條例第4條第5款至第9款所定「處理」、「清查」及「處理及協調」之內涵與作業方式，竟與刑事司法偵查權、監察調查權、國會調查(閱)權之部分文字與作業方式相同，不但易與上</w:t>
      </w:r>
      <w:r w:rsidRPr="00741B91">
        <w:rPr>
          <w:rFonts w:hint="eastAsia"/>
        </w:rPr>
        <w:lastRenderedPageBreak/>
        <w:t>開權限發生混淆，且超出一般人所得預見與理解，核與法律明確性原則未符。</w:t>
      </w:r>
    </w:p>
    <w:p w:rsidR="00CF47AA" w:rsidRPr="00741B91" w:rsidRDefault="00CF47AA" w:rsidP="00CF47AA">
      <w:pPr>
        <w:pStyle w:val="3"/>
        <w:numPr>
          <w:ilvl w:val="0"/>
          <w:numId w:val="0"/>
        </w:numPr>
        <w:ind w:left="1361"/>
      </w:pPr>
    </w:p>
    <w:p w:rsidR="00CF47AA" w:rsidRPr="00741B91" w:rsidRDefault="00CF47AA" w:rsidP="00CF47AA">
      <w:pPr>
        <w:pStyle w:val="2"/>
        <w:numPr>
          <w:ilvl w:val="1"/>
          <w:numId w:val="1"/>
        </w:numPr>
        <w:rPr>
          <w:b w:val="0"/>
        </w:rPr>
      </w:pPr>
      <w:r w:rsidRPr="00741B91">
        <w:rPr>
          <w:rFonts w:hint="eastAsia"/>
        </w:rPr>
        <w:t>法務部未盡監督職責，致部分政風人員未能清楚辨別政風職權本質屬於行政調查權，職權之行使範疇除須符合相關法律規定與原則外，自不得超出行政權範疇，縱配置於司法或監察等機關者亦同；部分政風人員亦未能認識職權行使</w:t>
      </w:r>
      <w:r w:rsidRPr="009C6EBE">
        <w:rPr>
          <w:rFonts w:hint="eastAsia"/>
        </w:rPr>
        <w:t>過程及手段須合於比例原則及權力分立原則，致使用包括測謊、調閱記者通聯等調查手段，逾越權限侵害人民權益之案例發生，引發社會質疑傷害新聞自由</w:t>
      </w:r>
      <w:r w:rsidRPr="00741B91">
        <w:rPr>
          <w:rFonts w:hint="eastAsia"/>
        </w:rPr>
        <w:t>，核有違失</w:t>
      </w:r>
    </w:p>
    <w:p w:rsidR="00CF47AA" w:rsidRPr="00741B91" w:rsidRDefault="00CF47AA" w:rsidP="00CF47AA">
      <w:pPr>
        <w:pStyle w:val="3"/>
        <w:numPr>
          <w:ilvl w:val="2"/>
          <w:numId w:val="1"/>
        </w:numPr>
      </w:pPr>
      <w:r w:rsidRPr="00741B91">
        <w:rPr>
          <w:rFonts w:hint="eastAsia"/>
        </w:rPr>
        <w:t>按公民與政治權利國際公約第14條第3項第7款規定：「不得強迫被告自供或認罪。」</w:t>
      </w:r>
      <w:r w:rsidRPr="00741B91">
        <w:rPr>
          <w:rStyle w:val="afc"/>
        </w:rPr>
        <w:footnoteReference w:id="4"/>
      </w:r>
      <w:r w:rsidRPr="00741B91">
        <w:rPr>
          <w:rFonts w:hint="eastAsia"/>
        </w:rPr>
        <w:t>憲法第23條規定：「以上各條列舉之自由權利，除為防止妨礙他人自由、避免緊急危難、維持社會秩序，或增進公共利益所必要者外，不得以法律限制之。」行政程序法第4條規定：「行政行為應受法律及一般法律原則之拘束。」同法第7條規定：「行政行為，應依下列原則為之：一、採取之方法應有助於目的之達成。二、有多種同樣能達成目的之方法時，應選擇對人民權益損害最少者。三、採取之方法所造成之損害不得與欲達成目的之利益顯失均衡。」個人資料保護法第15條第1款規定：「公務機關對個人資料之蒐集或處理，除第6條第1項所規定資料外，應有特定目的，並符合下列情形之</w:t>
      </w:r>
      <w:proofErr w:type="gramStart"/>
      <w:r w:rsidRPr="00741B91">
        <w:rPr>
          <w:rFonts w:hint="eastAsia"/>
        </w:rPr>
        <w:t>一</w:t>
      </w:r>
      <w:proofErr w:type="gramEnd"/>
      <w:r w:rsidRPr="00741B91">
        <w:rPr>
          <w:rFonts w:hint="eastAsia"/>
        </w:rPr>
        <w:t>者：一、執行法定職務必要範圍內。」司法院釋字第499號解釋：「憲法條文中，諸如：第</w:t>
      </w:r>
      <w:r w:rsidR="00DA0750">
        <w:rPr>
          <w:rFonts w:hint="eastAsia"/>
        </w:rPr>
        <w:t>1</w:t>
      </w:r>
      <w:r w:rsidRPr="00741B91">
        <w:rPr>
          <w:rFonts w:hint="eastAsia"/>
        </w:rPr>
        <w:t>條所樹立之民主共和國原則、第</w:t>
      </w:r>
      <w:r w:rsidR="00DA0750">
        <w:rPr>
          <w:rFonts w:hint="eastAsia"/>
        </w:rPr>
        <w:t>2</w:t>
      </w:r>
      <w:r w:rsidRPr="00741B91">
        <w:rPr>
          <w:rFonts w:hint="eastAsia"/>
        </w:rPr>
        <w:lastRenderedPageBreak/>
        <w:t>條國民主權原則、第二章保障人民權利、以及有關權力分立與制衡之原則，具有本質之重要性，亦為憲法整體基本原則之所在。基於前述規定所形成之自由民主憲政秩序，乃現行憲法賴以存立之基礎，凡憲法設置之</w:t>
      </w:r>
      <w:proofErr w:type="gramStart"/>
      <w:r w:rsidRPr="00741B91">
        <w:rPr>
          <w:rFonts w:hint="eastAsia"/>
        </w:rPr>
        <w:t>機關均有遵守</w:t>
      </w:r>
      <w:proofErr w:type="gramEnd"/>
      <w:r w:rsidRPr="00741B91">
        <w:rPr>
          <w:rFonts w:hint="eastAsia"/>
        </w:rPr>
        <w:t>之義務。」釋字第509號</w:t>
      </w:r>
      <w:r w:rsidR="00323769">
        <w:rPr>
          <w:rFonts w:hint="eastAsia"/>
        </w:rPr>
        <w:t>解釋</w:t>
      </w:r>
      <w:r w:rsidRPr="00741B91">
        <w:rPr>
          <w:rFonts w:hint="eastAsia"/>
        </w:rPr>
        <w:t>理由書：「憲法第11條規定，人民之言論自由應予保障，</w:t>
      </w:r>
      <w:proofErr w:type="gramStart"/>
      <w:r w:rsidRPr="00741B91">
        <w:rPr>
          <w:rFonts w:hint="eastAsia"/>
        </w:rPr>
        <w:t>鑑</w:t>
      </w:r>
      <w:proofErr w:type="gramEnd"/>
      <w:r w:rsidRPr="00741B91">
        <w:rPr>
          <w:rFonts w:hint="eastAsia"/>
        </w:rPr>
        <w:t>於言論自由有實現自我、溝通意見、追求真理、滿足人民知的權利，形成公意，促進各種合理的政治及社會活動之功能，乃維持民主多元社會正常發展不可或缺之機制，國家應給予最大限度之保障。」</w:t>
      </w:r>
    </w:p>
    <w:p w:rsidR="00CF47AA" w:rsidRPr="00741B91" w:rsidRDefault="00CF47AA" w:rsidP="00CF47AA">
      <w:pPr>
        <w:pStyle w:val="3"/>
        <w:numPr>
          <w:ilvl w:val="2"/>
          <w:numId w:val="1"/>
        </w:numPr>
      </w:pPr>
      <w:r w:rsidRPr="00741B91">
        <w:rPr>
          <w:rFonts w:hint="eastAsia"/>
        </w:rPr>
        <w:t>據法務部查復，政風機構與人員在法制上定位與行使權限性質如下：</w:t>
      </w:r>
    </w:p>
    <w:p w:rsidR="00CF47AA" w:rsidRPr="00741B91" w:rsidRDefault="00CF47AA" w:rsidP="00CF47AA">
      <w:pPr>
        <w:pStyle w:val="4"/>
        <w:numPr>
          <w:ilvl w:val="3"/>
          <w:numId w:val="1"/>
        </w:numPr>
      </w:pPr>
      <w:proofErr w:type="gramStart"/>
      <w:r w:rsidRPr="00741B91">
        <w:rPr>
          <w:rFonts w:hint="eastAsia"/>
        </w:rPr>
        <w:t>依政風</w:t>
      </w:r>
      <w:proofErr w:type="gramEnd"/>
      <w:r w:rsidRPr="00741B91">
        <w:rPr>
          <w:rFonts w:hint="eastAsia"/>
        </w:rPr>
        <w:t>條例第5條第1項規定，各機關依層級、業務屬性、組織編制及政風業務需求等因素設置政風機構。另依聯合國反貪腐公約第5條及第6條 精神，我國政風機構定位為預防性反貪腐機構。</w:t>
      </w:r>
    </w:p>
    <w:p w:rsidR="00CF47AA" w:rsidRPr="00741B91" w:rsidRDefault="00CF47AA" w:rsidP="00CF47AA">
      <w:pPr>
        <w:pStyle w:val="4"/>
        <w:numPr>
          <w:ilvl w:val="3"/>
          <w:numId w:val="1"/>
        </w:numPr>
      </w:pPr>
      <w:proofErr w:type="gramStart"/>
      <w:r w:rsidRPr="00741B91">
        <w:rPr>
          <w:rFonts w:hAnsi="標楷體" w:hint="eastAsia"/>
          <w:szCs w:val="32"/>
        </w:rPr>
        <w:t>依廉政</w:t>
      </w:r>
      <w:proofErr w:type="gramEnd"/>
      <w:r w:rsidRPr="00741B91">
        <w:rPr>
          <w:rFonts w:hAnsi="標楷體" w:hint="eastAsia"/>
          <w:szCs w:val="32"/>
        </w:rPr>
        <w:t>署組織法</w:t>
      </w:r>
      <w:r w:rsidRPr="00741B91">
        <w:rPr>
          <w:rFonts w:hint="eastAsia"/>
        </w:rPr>
        <w:t>第2條第2項規定，該署執行貪瀆或相關犯罪調查職權之人員，始具有刑事訴訟法司法警察</w:t>
      </w:r>
      <w:r w:rsidRPr="00741B91">
        <w:rPr>
          <w:rFonts w:hAnsi="標楷體" w:hint="eastAsia"/>
          <w:szCs w:val="32"/>
        </w:rPr>
        <w:t>(官)</w:t>
      </w:r>
      <w:r w:rsidRPr="00741B91">
        <w:rPr>
          <w:rFonts w:hint="eastAsia"/>
        </w:rPr>
        <w:t>身分。</w:t>
      </w:r>
    </w:p>
    <w:p w:rsidR="00CF47AA" w:rsidRPr="00741B91" w:rsidRDefault="00CF47AA" w:rsidP="00CF47AA">
      <w:pPr>
        <w:pStyle w:val="4"/>
        <w:numPr>
          <w:ilvl w:val="3"/>
          <w:numId w:val="1"/>
        </w:numPr>
      </w:pPr>
      <w:r w:rsidRPr="00741B91">
        <w:rPr>
          <w:rFonts w:hint="eastAsia"/>
        </w:rPr>
        <w:t>政風人員之業務，</w:t>
      </w:r>
      <w:proofErr w:type="gramStart"/>
      <w:r w:rsidRPr="00741B91">
        <w:rPr>
          <w:rFonts w:hint="eastAsia"/>
        </w:rPr>
        <w:t>依政風</w:t>
      </w:r>
      <w:proofErr w:type="gramEnd"/>
      <w:r w:rsidRPr="00741B91">
        <w:rPr>
          <w:rFonts w:hint="eastAsia"/>
        </w:rPr>
        <w:t>條例第4條規定，包括：</w:t>
      </w:r>
      <w:proofErr w:type="gramStart"/>
      <w:r w:rsidRPr="00741B91">
        <w:rPr>
          <w:rFonts w:hint="eastAsia"/>
        </w:rPr>
        <w:t>廉</w:t>
      </w:r>
      <w:proofErr w:type="gramEnd"/>
      <w:r w:rsidRPr="00741B91">
        <w:rPr>
          <w:rFonts w:hint="eastAsia"/>
        </w:rPr>
        <w:t>政法令、預防措施之擬訂、廉政興革建議之擬訂、協調及推動、公職人員財產申報、利益衝突迴避及廉政倫理相關業務、機關有關之貪瀆與不法事項之處理、對於具有貪瀆風險業務之清查、機關公務機密維護之處理及協調等。</w:t>
      </w:r>
    </w:p>
    <w:p w:rsidR="00CF47AA" w:rsidRPr="00741B91" w:rsidRDefault="00CF47AA" w:rsidP="00CF47AA">
      <w:pPr>
        <w:pStyle w:val="4"/>
        <w:numPr>
          <w:ilvl w:val="3"/>
          <w:numId w:val="1"/>
        </w:numPr>
      </w:pPr>
      <w:r w:rsidRPr="00741B91">
        <w:rPr>
          <w:rFonts w:hAnsi="標楷體" w:hint="eastAsia"/>
          <w:szCs w:val="32"/>
        </w:rPr>
        <w:t>綜上可知，</w:t>
      </w:r>
      <w:r w:rsidRPr="00741B91">
        <w:rPr>
          <w:rFonts w:hint="eastAsia"/>
        </w:rPr>
        <w:t>政風機構為機關內部控制單位，所配置之</w:t>
      </w:r>
      <w:r w:rsidRPr="00741B91">
        <w:rPr>
          <w:rFonts w:hAnsi="標楷體" w:hint="eastAsia"/>
          <w:szCs w:val="32"/>
        </w:rPr>
        <w:t>政風人員非廉政署專責執行貪瀆或相關犯罪之調查及處理人員，故不具司法警察(官)職權。</w:t>
      </w:r>
      <w:r w:rsidRPr="00741B91">
        <w:rPr>
          <w:rFonts w:hint="eastAsia"/>
        </w:rPr>
        <w:t>政風人員</w:t>
      </w:r>
      <w:r w:rsidRPr="00741B91">
        <w:rPr>
          <w:rFonts w:hAnsi="標楷體" w:hint="eastAsia"/>
          <w:szCs w:val="32"/>
        </w:rPr>
        <w:t>於執行相關查處、清查時，</w:t>
      </w:r>
      <w:r w:rsidRPr="00741B91">
        <w:rPr>
          <w:rFonts w:hint="eastAsia"/>
        </w:rPr>
        <w:t>應</w:t>
      </w:r>
      <w:r w:rsidRPr="00741B91">
        <w:rPr>
          <w:rFonts w:hAnsi="標楷體" w:hint="eastAsia"/>
          <w:szCs w:val="32"/>
        </w:rPr>
        <w:t>依行</w:t>
      </w:r>
      <w:r w:rsidRPr="00741B91">
        <w:rPr>
          <w:rFonts w:hAnsi="標楷體" w:hint="eastAsia"/>
          <w:szCs w:val="32"/>
        </w:rPr>
        <w:lastRenderedPageBreak/>
        <w:t>政程序法第7條、第36條等規定，</w:t>
      </w:r>
      <w:r w:rsidRPr="00741B91">
        <w:rPr>
          <w:rFonts w:hint="eastAsia"/>
        </w:rPr>
        <w:t>行使</w:t>
      </w:r>
      <w:r w:rsidRPr="00741B91">
        <w:rPr>
          <w:rFonts w:hAnsi="標楷體" w:hint="eastAsia"/>
          <w:szCs w:val="32"/>
        </w:rPr>
        <w:t>行</w:t>
      </w:r>
      <w:r w:rsidRPr="00741B91">
        <w:rPr>
          <w:rFonts w:hint="eastAsia"/>
        </w:rPr>
        <w:t>政調查須符合適當性、必要性及比例性等原則。</w:t>
      </w:r>
    </w:p>
    <w:p w:rsidR="00CF47AA" w:rsidRPr="00741B91" w:rsidRDefault="00CF47AA" w:rsidP="00CF47AA">
      <w:pPr>
        <w:pStyle w:val="3"/>
        <w:numPr>
          <w:ilvl w:val="2"/>
          <w:numId w:val="1"/>
        </w:numPr>
      </w:pPr>
      <w:r w:rsidRPr="00741B91">
        <w:rPr>
          <w:rFonts w:hint="eastAsia"/>
        </w:rPr>
        <w:t>在司法實務上，最高法院對於行政調查認為：「所謂行政檢查（或稱行政調查），係指行政機關為達成行政上之目的，依法令規定對人、處所或物件所為之訪視、查詢、勘驗、查察或檢驗等行為。倘行政機關所為之行政檢查，具有法令上之依據，且其實施之過程及手段合於目的性與正當性，則其將行政檢查結果及所取得之相關資料，提供予偵查機關作為偵辦之證據資料，該等證據資料自屬合法取得之證據。」（最高法院</w:t>
      </w:r>
      <w:proofErr w:type="gramStart"/>
      <w:r w:rsidRPr="00741B91">
        <w:rPr>
          <w:rFonts w:hint="eastAsia"/>
        </w:rPr>
        <w:t>105</w:t>
      </w:r>
      <w:proofErr w:type="gramEnd"/>
      <w:r w:rsidRPr="00741B91">
        <w:rPr>
          <w:rFonts w:hint="eastAsia"/>
        </w:rPr>
        <w:t>年</w:t>
      </w:r>
      <w:r w:rsidR="00DA0750">
        <w:rPr>
          <w:rFonts w:hint="eastAsia"/>
        </w:rPr>
        <w:t>度</w:t>
      </w:r>
      <w:r w:rsidRPr="00741B91">
        <w:rPr>
          <w:rFonts w:hint="eastAsia"/>
        </w:rPr>
        <w:t>台上字第411號刑事判決參照）另據學者表示，無論是靜態或動態的行政調查，</w:t>
      </w:r>
      <w:proofErr w:type="gramStart"/>
      <w:r w:rsidRPr="00741B91">
        <w:rPr>
          <w:rFonts w:hint="eastAsia"/>
        </w:rPr>
        <w:t>均係達成</w:t>
      </w:r>
      <w:proofErr w:type="gramEnd"/>
      <w:r w:rsidRPr="00741B91">
        <w:rPr>
          <w:rFonts w:hint="eastAsia"/>
        </w:rPr>
        <w:t>特定行政目的之手段而屬行政權範疇，侷限於行政之目的，不得跨足其他，有別於立法調查、犯罪偵查與監察調查，這是權力分立原則與基本人權保障下當然的結果</w:t>
      </w:r>
      <w:r w:rsidRPr="00741B91">
        <w:rPr>
          <w:rStyle w:val="afc"/>
        </w:rPr>
        <w:footnoteReference w:id="5"/>
      </w:r>
      <w:r w:rsidRPr="00741B91">
        <w:rPr>
          <w:rFonts w:hint="eastAsia"/>
        </w:rPr>
        <w:t>。若行政調查之手段對人民權益干預較大時，必然要求較高之法律保留，即須有法律上明確規定為依據，否則不得為之</w:t>
      </w:r>
      <w:r w:rsidRPr="00741B91">
        <w:rPr>
          <w:rStyle w:val="afc"/>
        </w:rPr>
        <w:footnoteReference w:id="6"/>
      </w:r>
      <w:r w:rsidRPr="00741B91">
        <w:rPr>
          <w:rFonts w:hint="eastAsia"/>
        </w:rPr>
        <w:t>。</w:t>
      </w:r>
    </w:p>
    <w:p w:rsidR="00CF47AA" w:rsidRPr="00741B91" w:rsidRDefault="00CF47AA" w:rsidP="00CF47AA">
      <w:pPr>
        <w:pStyle w:val="3"/>
        <w:numPr>
          <w:ilvl w:val="2"/>
          <w:numId w:val="1"/>
        </w:numPr>
      </w:pPr>
      <w:r w:rsidRPr="00741B91">
        <w:rPr>
          <w:rFonts w:hint="eastAsia"/>
        </w:rPr>
        <w:t>基此，政風機構作為預防性反貪腐機構，配置於各機關內，而政風人員所辦理事項，</w:t>
      </w:r>
      <w:proofErr w:type="gramStart"/>
      <w:r w:rsidRPr="00741B91">
        <w:rPr>
          <w:rFonts w:hint="eastAsia"/>
        </w:rPr>
        <w:t>依政風</w:t>
      </w:r>
      <w:proofErr w:type="gramEnd"/>
      <w:r w:rsidRPr="00741B91">
        <w:rPr>
          <w:rFonts w:hint="eastAsia"/>
        </w:rPr>
        <w:t>條例第9條規定及機關首長之命，辦理反貪、防貪、查處、公務機密、安全維護、財產申報、利益衝突迴避及廉政倫理、民眾檢舉等業務，屬行政機關內部控制事項，業務範圍自以行政機關內部為限，則調查對象自以公務人員與公務設備、物品為限，而</w:t>
      </w:r>
      <w:proofErr w:type="gramStart"/>
      <w:r w:rsidRPr="00741B91">
        <w:rPr>
          <w:rFonts w:hint="eastAsia"/>
        </w:rPr>
        <w:t>不</w:t>
      </w:r>
      <w:proofErr w:type="gramEnd"/>
      <w:r w:rsidRPr="00741B91">
        <w:rPr>
          <w:rFonts w:hint="eastAsia"/>
        </w:rPr>
        <w:t>及於一般民眾或民眾個人之物品、場所等</w:t>
      </w:r>
      <w:r w:rsidRPr="00741B91">
        <w:rPr>
          <w:rStyle w:val="afc"/>
        </w:rPr>
        <w:footnoteReference w:id="7"/>
      </w:r>
      <w:r w:rsidRPr="00741B91">
        <w:rPr>
          <w:rFonts w:hint="eastAsia"/>
        </w:rPr>
        <w:t>。至配置於司法</w:t>
      </w:r>
      <w:r w:rsidRPr="00741B91">
        <w:rPr>
          <w:rFonts w:hint="eastAsia"/>
        </w:rPr>
        <w:lastRenderedPageBreak/>
        <w:t>或監察機關之政風機構與人員，亦無不同，</w:t>
      </w:r>
      <w:proofErr w:type="gramStart"/>
      <w:r w:rsidRPr="00741B91">
        <w:rPr>
          <w:rFonts w:hint="eastAsia"/>
        </w:rPr>
        <w:t>縱經機關</w:t>
      </w:r>
      <w:proofErr w:type="gramEnd"/>
      <w:r w:rsidRPr="00741B91">
        <w:rPr>
          <w:rFonts w:hint="eastAsia"/>
        </w:rPr>
        <w:t>首長同意或授權，亦不得如同刑事偵查，對一般民眾、其物品、場所進行調查，或因而可取得原行政調查權所不得調取之文件資料。</w:t>
      </w:r>
    </w:p>
    <w:p w:rsidR="00CF47AA" w:rsidRPr="00741B91" w:rsidRDefault="00CF47AA" w:rsidP="00CF47AA">
      <w:pPr>
        <w:pStyle w:val="3"/>
        <w:numPr>
          <w:ilvl w:val="2"/>
          <w:numId w:val="1"/>
        </w:numPr>
      </w:pPr>
      <w:r w:rsidRPr="00741B91">
        <w:rPr>
          <w:rFonts w:hint="eastAsia"/>
        </w:rPr>
        <w:t>其次，行政行為應受法律及一般法律原則之拘束，行政程序法第4條定有明文，亦為法務部所自承，故行政調查及其手段自應符合相關法律原則。據法務部查復，廉政署廉政工作手冊並未要求使用「測謊」進行案件之查察，然該部認為</w:t>
      </w:r>
      <w:proofErr w:type="gramStart"/>
      <w:r w:rsidRPr="00741B91">
        <w:rPr>
          <w:rFonts w:hint="eastAsia"/>
        </w:rPr>
        <w:t>測謊仍屬</w:t>
      </w:r>
      <w:proofErr w:type="gramEnd"/>
      <w:r w:rsidRPr="00741B91">
        <w:rPr>
          <w:rFonts w:hint="eastAsia"/>
        </w:rPr>
        <w:t>廣義行政調查行為云云。實則，本院106年1月11日所公布之</w:t>
      </w:r>
      <w:proofErr w:type="gramStart"/>
      <w:r w:rsidRPr="00741B91">
        <w:rPr>
          <w:rFonts w:hint="eastAsia"/>
        </w:rPr>
        <w:t>106</w:t>
      </w:r>
      <w:proofErr w:type="gramEnd"/>
      <w:r w:rsidRPr="00741B91">
        <w:rPr>
          <w:rFonts w:hint="eastAsia"/>
        </w:rPr>
        <w:t>年度</w:t>
      </w:r>
      <w:proofErr w:type="gramStart"/>
      <w:r w:rsidRPr="00741B91">
        <w:rPr>
          <w:rFonts w:hint="eastAsia"/>
        </w:rPr>
        <w:t>司調字</w:t>
      </w:r>
      <w:proofErr w:type="gramEnd"/>
      <w:r w:rsidRPr="00741B91">
        <w:rPr>
          <w:rFonts w:hint="eastAsia"/>
        </w:rPr>
        <w:t>第0002號調查報告亦明確指出</w:t>
      </w:r>
      <w:r w:rsidRPr="00741B91">
        <w:rPr>
          <w:rStyle w:val="afc"/>
        </w:rPr>
        <w:footnoteReference w:id="8"/>
      </w:r>
      <w:r w:rsidRPr="00741B91">
        <w:rPr>
          <w:rFonts w:hint="eastAsia"/>
        </w:rPr>
        <w:t>：</w:t>
      </w:r>
      <w:proofErr w:type="gramStart"/>
      <w:r w:rsidRPr="00741B91">
        <w:rPr>
          <w:rFonts w:hint="eastAsia"/>
        </w:rPr>
        <w:t>測謊係對受測人生理</w:t>
      </w:r>
      <w:proofErr w:type="gramEnd"/>
      <w:r w:rsidRPr="00741B91">
        <w:rPr>
          <w:rFonts w:hint="eastAsia"/>
        </w:rPr>
        <w:t>、心理反應結果所作評斷，係對人類心智活動的監測方法，</w:t>
      </w:r>
      <w:proofErr w:type="gramStart"/>
      <w:r w:rsidRPr="00741B91">
        <w:rPr>
          <w:rFonts w:hint="eastAsia"/>
        </w:rPr>
        <w:t>受測人無從</w:t>
      </w:r>
      <w:proofErr w:type="gramEnd"/>
      <w:r w:rsidRPr="00741B91">
        <w:rPr>
          <w:rFonts w:hint="eastAsia"/>
        </w:rPr>
        <w:t>保持緘默，實屬對人格權及人性尊嚴之侵害！測謊鑑定，不具如同指紋、血型、毒品、化學物質、物理性質、去氧</w:t>
      </w:r>
      <w:r w:rsidR="00786ACA">
        <w:rPr>
          <w:rFonts w:hint="eastAsia"/>
        </w:rPr>
        <w:t>核醣</w:t>
      </w:r>
      <w:r w:rsidRPr="00741B91">
        <w:rPr>
          <w:rFonts w:hint="eastAsia"/>
        </w:rPr>
        <w:t>核酸之比對、</w:t>
      </w:r>
      <w:proofErr w:type="gramStart"/>
      <w:r w:rsidRPr="00741B91">
        <w:rPr>
          <w:rFonts w:hint="eastAsia"/>
        </w:rPr>
        <w:t>鑑驗等</w:t>
      </w:r>
      <w:proofErr w:type="gramEnd"/>
      <w:r w:rsidRPr="00741B91">
        <w:rPr>
          <w:rFonts w:hint="eastAsia"/>
        </w:rPr>
        <w:t>「再現性」，且鑑定準確度，係取決於施測人員之專業智能、施測程序、方法、經驗等諸多因素而定，最高法院95年度台上字第2254號判決理由亦指明：「刑事程序</w:t>
      </w:r>
      <w:proofErr w:type="gramStart"/>
      <w:r w:rsidRPr="00741B91">
        <w:rPr>
          <w:rFonts w:hint="eastAsia"/>
        </w:rPr>
        <w:t>上之測謊</w:t>
      </w:r>
      <w:proofErr w:type="gramEnd"/>
      <w:r w:rsidRPr="00741B91">
        <w:rPr>
          <w:rFonts w:hint="eastAsia"/>
        </w:rPr>
        <w:t>，係對於人之內心的檢查，具有侵害個人內心自由及意思活動之心理檢查的性質，其對人格權之侵害，猶勝對被告緘默權之違反。」因</w:t>
      </w:r>
      <w:proofErr w:type="gramStart"/>
      <w:r w:rsidRPr="00741B91">
        <w:rPr>
          <w:rFonts w:hint="eastAsia"/>
        </w:rPr>
        <w:t>測謊具侵害</w:t>
      </w:r>
      <w:proofErr w:type="gramEnd"/>
      <w:r w:rsidRPr="00741B91">
        <w:rPr>
          <w:rFonts w:hint="eastAsia"/>
        </w:rPr>
        <w:t>人民權益之疑慮，用於刑事司法程序中，恐違反聯合國公民與政治權利國際公約第14條第3項第7款所定刑事訴訟程序應遵守之被告不自證己罪原則及憲法第16</w:t>
      </w:r>
      <w:r w:rsidRPr="00741B91">
        <w:rPr>
          <w:rFonts w:hint="eastAsia"/>
        </w:rPr>
        <w:lastRenderedPageBreak/>
        <w:t>條人民訴訟權之保障，而學者亦認為行政調查具強制力者，依司法院釋字第535號解釋意旨，應有法律明確依據始得為之</w:t>
      </w:r>
      <w:r w:rsidRPr="00741B91">
        <w:rPr>
          <w:rStyle w:val="afc"/>
        </w:rPr>
        <w:footnoteReference w:id="9"/>
      </w:r>
      <w:r w:rsidRPr="00741B91">
        <w:rPr>
          <w:rFonts w:hint="eastAsia"/>
        </w:rPr>
        <w:t>，至有關思想、信仰等資料，絕對禁止行政機關蒐集</w:t>
      </w:r>
      <w:r w:rsidRPr="00741B91">
        <w:rPr>
          <w:rStyle w:val="afc"/>
        </w:rPr>
        <w:footnoteReference w:id="10"/>
      </w:r>
      <w:r w:rsidRPr="00741B91">
        <w:rPr>
          <w:rFonts w:hint="eastAsia"/>
        </w:rPr>
        <w:t>。基上可知，縱令於刑事司法程序實施測謊，尚有其嚴格之要件且已產生相當爭議而引發疑慮，遑論政風機構之行政調查？豈能以「廣義行政調查行為」視之！其謬誤之處，顯而易見。</w:t>
      </w:r>
    </w:p>
    <w:p w:rsidR="00CF47AA" w:rsidRPr="00741B91" w:rsidRDefault="00CF47AA" w:rsidP="00CF47AA">
      <w:pPr>
        <w:pStyle w:val="3"/>
        <w:numPr>
          <w:ilvl w:val="2"/>
          <w:numId w:val="1"/>
        </w:numPr>
      </w:pPr>
      <w:proofErr w:type="gramStart"/>
      <w:r w:rsidRPr="00741B91">
        <w:rPr>
          <w:rFonts w:hint="eastAsia"/>
        </w:rPr>
        <w:t>然查</w:t>
      </w:r>
      <w:proofErr w:type="gramEnd"/>
      <w:r w:rsidRPr="00741B91">
        <w:rPr>
          <w:rFonts w:hint="eastAsia"/>
        </w:rPr>
        <w:t>，近來發生若干政風機構與人員，行使行政調查權逾越權限、違反比例原則而招致侵害人權疑義之情形，相關案例及法務部說明，茲表</w:t>
      </w:r>
      <w:proofErr w:type="gramStart"/>
      <w:r w:rsidRPr="00741B91">
        <w:rPr>
          <w:rFonts w:hint="eastAsia"/>
        </w:rPr>
        <w:t>列如</w:t>
      </w:r>
      <w:proofErr w:type="gramEnd"/>
      <w:r w:rsidRPr="00741B91">
        <w:rPr>
          <w:rFonts w:hint="eastAsia"/>
        </w:rPr>
        <w:t>下：</w:t>
      </w:r>
    </w:p>
    <w:tbl>
      <w:tblPr>
        <w:tblStyle w:val="af6"/>
        <w:tblW w:w="8449" w:type="dxa"/>
        <w:tblInd w:w="534" w:type="dxa"/>
        <w:tblLook w:val="04A0" w:firstRow="1" w:lastRow="0" w:firstColumn="1" w:lastColumn="0" w:noHBand="0" w:noVBand="1"/>
      </w:tblPr>
      <w:tblGrid>
        <w:gridCol w:w="492"/>
        <w:gridCol w:w="3733"/>
        <w:gridCol w:w="4224"/>
      </w:tblGrid>
      <w:tr w:rsidR="00741B91" w:rsidRPr="00741B91" w:rsidTr="005A6D2F">
        <w:trPr>
          <w:trHeight w:val="143"/>
        </w:trPr>
        <w:tc>
          <w:tcPr>
            <w:tcW w:w="492" w:type="dxa"/>
          </w:tcPr>
          <w:p w:rsidR="00CF47AA" w:rsidRPr="00741B91" w:rsidRDefault="00CF47AA" w:rsidP="005A6D2F">
            <w:pPr>
              <w:pStyle w:val="3"/>
              <w:numPr>
                <w:ilvl w:val="0"/>
                <w:numId w:val="0"/>
              </w:numPr>
              <w:rPr>
                <w:sz w:val="16"/>
                <w:szCs w:val="16"/>
              </w:rPr>
            </w:pPr>
            <w:r w:rsidRPr="00741B91">
              <w:rPr>
                <w:rFonts w:hint="eastAsia"/>
                <w:sz w:val="16"/>
                <w:szCs w:val="16"/>
              </w:rPr>
              <w:t>編號</w:t>
            </w:r>
          </w:p>
        </w:tc>
        <w:tc>
          <w:tcPr>
            <w:tcW w:w="3733" w:type="dxa"/>
          </w:tcPr>
          <w:p w:rsidR="00CF47AA" w:rsidRPr="00741B91" w:rsidRDefault="00CF47AA" w:rsidP="005A6D2F">
            <w:pPr>
              <w:pStyle w:val="3"/>
              <w:numPr>
                <w:ilvl w:val="0"/>
                <w:numId w:val="0"/>
              </w:numPr>
              <w:jc w:val="center"/>
              <w:rPr>
                <w:sz w:val="28"/>
                <w:szCs w:val="28"/>
              </w:rPr>
            </w:pPr>
            <w:r w:rsidRPr="00741B91">
              <w:rPr>
                <w:rFonts w:hint="eastAsia"/>
                <w:sz w:val="28"/>
                <w:szCs w:val="28"/>
              </w:rPr>
              <w:t>案例</w:t>
            </w:r>
          </w:p>
        </w:tc>
        <w:tc>
          <w:tcPr>
            <w:tcW w:w="4224" w:type="dxa"/>
          </w:tcPr>
          <w:p w:rsidR="00CF47AA" w:rsidRPr="00741B91" w:rsidRDefault="00CF47AA" w:rsidP="005A6D2F">
            <w:pPr>
              <w:pStyle w:val="3"/>
              <w:numPr>
                <w:ilvl w:val="0"/>
                <w:numId w:val="0"/>
              </w:numPr>
              <w:jc w:val="center"/>
              <w:rPr>
                <w:sz w:val="28"/>
                <w:szCs w:val="28"/>
              </w:rPr>
            </w:pPr>
            <w:r w:rsidRPr="00741B91">
              <w:rPr>
                <w:rFonts w:hint="eastAsia"/>
                <w:sz w:val="28"/>
                <w:szCs w:val="28"/>
              </w:rPr>
              <w:t>法務部說法</w:t>
            </w:r>
          </w:p>
        </w:tc>
      </w:tr>
      <w:tr w:rsidR="00741B91" w:rsidRPr="00741B91" w:rsidTr="005A6D2F">
        <w:trPr>
          <w:trHeight w:val="143"/>
        </w:trPr>
        <w:tc>
          <w:tcPr>
            <w:tcW w:w="492" w:type="dxa"/>
          </w:tcPr>
          <w:p w:rsidR="00CF47AA" w:rsidRPr="00741B91" w:rsidRDefault="00CF47AA" w:rsidP="005A6D2F">
            <w:pPr>
              <w:pStyle w:val="3"/>
              <w:numPr>
                <w:ilvl w:val="0"/>
                <w:numId w:val="0"/>
              </w:numPr>
              <w:rPr>
                <w:sz w:val="28"/>
                <w:szCs w:val="28"/>
              </w:rPr>
            </w:pPr>
            <w:r w:rsidRPr="00741B91">
              <w:rPr>
                <w:rFonts w:hint="eastAsia"/>
                <w:sz w:val="28"/>
                <w:szCs w:val="28"/>
              </w:rPr>
              <w:t>1</w:t>
            </w:r>
          </w:p>
        </w:tc>
        <w:tc>
          <w:tcPr>
            <w:tcW w:w="3733" w:type="dxa"/>
          </w:tcPr>
          <w:p w:rsidR="00CF47AA" w:rsidRPr="00741B91" w:rsidRDefault="00CF47AA" w:rsidP="00CF47AA">
            <w:pPr>
              <w:pStyle w:val="3"/>
              <w:numPr>
                <w:ilvl w:val="0"/>
                <w:numId w:val="0"/>
              </w:numPr>
              <w:ind w:left="318" w:hangingChars="106" w:hanging="318"/>
              <w:rPr>
                <w:sz w:val="28"/>
                <w:szCs w:val="28"/>
              </w:rPr>
            </w:pPr>
            <w:r w:rsidRPr="00741B91">
              <w:rPr>
                <w:rFonts w:hint="eastAsia"/>
                <w:sz w:val="28"/>
                <w:szCs w:val="28"/>
              </w:rPr>
              <w:t>1．105年4月12日風傳媒記者王君撰寫「柯文哲的議會『教戰守策』大巨蛋案</w:t>
            </w:r>
            <w:proofErr w:type="gramStart"/>
            <w:r w:rsidRPr="00741B91">
              <w:rPr>
                <w:rFonts w:hint="eastAsia"/>
                <w:sz w:val="28"/>
                <w:szCs w:val="28"/>
              </w:rPr>
              <w:t>6成</w:t>
            </w:r>
            <w:proofErr w:type="gramEnd"/>
            <w:r w:rsidRPr="00741B91">
              <w:rPr>
                <w:rFonts w:hint="eastAsia"/>
                <w:sz w:val="28"/>
                <w:szCs w:val="28"/>
              </w:rPr>
              <w:t>議員支持解約」刊載於網路(含會議資料內容</w:t>
            </w:r>
            <w:proofErr w:type="gramStart"/>
            <w:r w:rsidRPr="00741B91">
              <w:rPr>
                <w:rFonts w:hint="eastAsia"/>
                <w:sz w:val="28"/>
                <w:szCs w:val="28"/>
              </w:rPr>
              <w:t>）</w:t>
            </w:r>
            <w:proofErr w:type="gramEnd"/>
            <w:r w:rsidRPr="00741B91">
              <w:rPr>
                <w:rFonts w:hint="eastAsia"/>
                <w:sz w:val="28"/>
                <w:szCs w:val="28"/>
              </w:rPr>
              <w:t>。同日，臺北市議會多名議員於市長施政報告前，質疑臺北市政府針對大巨蛋案對議員進行非正式意見調查，並以不實調查結果供媒體報導，</w:t>
            </w:r>
            <w:proofErr w:type="gramStart"/>
            <w:r w:rsidRPr="00741B91">
              <w:rPr>
                <w:rFonts w:hint="eastAsia"/>
                <w:sz w:val="28"/>
                <w:szCs w:val="28"/>
              </w:rPr>
              <w:t>疑</w:t>
            </w:r>
            <w:proofErr w:type="gramEnd"/>
            <w:r w:rsidRPr="00741B91">
              <w:rPr>
                <w:rFonts w:hint="eastAsia"/>
                <w:sz w:val="28"/>
                <w:szCs w:val="28"/>
              </w:rPr>
              <w:t>陷議員於不義、抹黑議會，請該府依法調查。</w:t>
            </w:r>
          </w:p>
          <w:p w:rsidR="00CF47AA" w:rsidRPr="00741B91" w:rsidRDefault="00CF47AA" w:rsidP="00CF47AA">
            <w:pPr>
              <w:pStyle w:val="3"/>
              <w:numPr>
                <w:ilvl w:val="0"/>
                <w:numId w:val="0"/>
              </w:numPr>
              <w:ind w:left="318" w:hangingChars="106" w:hanging="318"/>
              <w:rPr>
                <w:sz w:val="28"/>
                <w:szCs w:val="28"/>
              </w:rPr>
            </w:pPr>
            <w:r w:rsidRPr="00741B91">
              <w:rPr>
                <w:rFonts w:hint="eastAsia"/>
                <w:sz w:val="28"/>
                <w:szCs w:val="28"/>
              </w:rPr>
              <w:t>2．經該府秘書處於105年4月18日函復臺北市議會表示：經詳細調查，惟未能查出洩漏人員。</w:t>
            </w:r>
            <w:proofErr w:type="gramStart"/>
            <w:r w:rsidRPr="00741B91">
              <w:rPr>
                <w:rFonts w:hint="eastAsia"/>
                <w:sz w:val="28"/>
                <w:szCs w:val="28"/>
              </w:rPr>
              <w:t>該函遭議會</w:t>
            </w:r>
            <w:proofErr w:type="gramEnd"/>
            <w:r w:rsidRPr="00741B91">
              <w:rPr>
                <w:rFonts w:hint="eastAsia"/>
                <w:sz w:val="28"/>
                <w:szCs w:val="28"/>
              </w:rPr>
              <w:t>退回，並限期查明後詳細答覆。該府秘書長蘇</w:t>
            </w:r>
            <w:r w:rsidRPr="00741B91">
              <w:rPr>
                <w:rFonts w:hint="eastAsia"/>
                <w:sz w:val="28"/>
                <w:szCs w:val="28"/>
              </w:rPr>
              <w:lastRenderedPageBreak/>
              <w:t>麗瓊遂擔任專案小組召集人，並指示由該府政風處調查。</w:t>
            </w:r>
          </w:p>
          <w:p w:rsidR="00CF47AA" w:rsidRPr="00741B91" w:rsidRDefault="00CF47AA" w:rsidP="00CF47AA">
            <w:pPr>
              <w:pStyle w:val="3"/>
              <w:numPr>
                <w:ilvl w:val="0"/>
                <w:numId w:val="0"/>
              </w:numPr>
              <w:ind w:left="318" w:hangingChars="106" w:hanging="318"/>
              <w:rPr>
                <w:sz w:val="28"/>
                <w:szCs w:val="28"/>
              </w:rPr>
            </w:pPr>
            <w:r w:rsidRPr="00741B91">
              <w:rPr>
                <w:rFonts w:hint="eastAsia"/>
                <w:sz w:val="28"/>
                <w:szCs w:val="28"/>
              </w:rPr>
              <w:t>3．該府政風處發現研究員黃員與該記者王君，有近18分鐘通話明細。顧問張員遭多名議員點名質疑外流會議資料，且其偶有與王君以LINE聯繫，及機要秘書劉員亦遭同仁影射外流本案會議資料，於會議後亦曾主動聯繫王君。因上述事項仍待</w:t>
            </w:r>
            <w:proofErr w:type="gramStart"/>
            <w:r w:rsidRPr="00741B91">
              <w:rPr>
                <w:rFonts w:hint="eastAsia"/>
                <w:sz w:val="28"/>
                <w:szCs w:val="28"/>
              </w:rPr>
              <w:t>釐</w:t>
            </w:r>
            <w:proofErr w:type="gramEnd"/>
            <w:r w:rsidRPr="00741B91">
              <w:rPr>
                <w:rFonts w:hint="eastAsia"/>
                <w:sz w:val="28"/>
                <w:szCs w:val="28"/>
              </w:rPr>
              <w:t>清，並基於無直接證據且各該</w:t>
            </w:r>
            <w:proofErr w:type="gramStart"/>
            <w:r w:rsidRPr="00741B91">
              <w:rPr>
                <w:rFonts w:hint="eastAsia"/>
                <w:sz w:val="28"/>
                <w:szCs w:val="28"/>
              </w:rPr>
              <w:t>當事人均予否認</w:t>
            </w:r>
            <w:proofErr w:type="gramEnd"/>
            <w:r w:rsidRPr="00741B91">
              <w:rPr>
                <w:rFonts w:hint="eastAsia"/>
                <w:sz w:val="28"/>
                <w:szCs w:val="28"/>
              </w:rPr>
              <w:t>情況下，其中劉員主動要求測謊自清，該府政</w:t>
            </w:r>
            <w:proofErr w:type="gramStart"/>
            <w:r w:rsidRPr="00741B91">
              <w:rPr>
                <w:rFonts w:hint="eastAsia"/>
                <w:sz w:val="28"/>
                <w:szCs w:val="28"/>
              </w:rPr>
              <w:t>風處旋經</w:t>
            </w:r>
            <w:proofErr w:type="gramEnd"/>
            <w:r w:rsidRPr="00741B91">
              <w:rPr>
                <w:rFonts w:hint="eastAsia"/>
                <w:sz w:val="28"/>
                <w:szCs w:val="28"/>
              </w:rPr>
              <w:t>簽報核定後，訪</w:t>
            </w:r>
            <w:proofErr w:type="gramStart"/>
            <w:r w:rsidRPr="00741B91">
              <w:rPr>
                <w:rFonts w:hint="eastAsia"/>
                <w:sz w:val="28"/>
                <w:szCs w:val="28"/>
              </w:rPr>
              <w:t>詢</w:t>
            </w:r>
            <w:proofErr w:type="gramEnd"/>
            <w:r w:rsidRPr="00741B91">
              <w:rPr>
                <w:rFonts w:hint="eastAsia"/>
                <w:sz w:val="28"/>
                <w:szCs w:val="28"/>
              </w:rPr>
              <w:t>曾有接受院、檢司法機關委託之民間測謊公司，除要求該公司簽署保密切結書，</w:t>
            </w:r>
            <w:proofErr w:type="gramStart"/>
            <w:r w:rsidRPr="00741B91">
              <w:rPr>
                <w:rFonts w:hint="eastAsia"/>
                <w:sz w:val="28"/>
                <w:szCs w:val="28"/>
              </w:rPr>
              <w:t>併</w:t>
            </w:r>
            <w:proofErr w:type="gramEnd"/>
            <w:r w:rsidRPr="00741B91">
              <w:rPr>
                <w:rFonts w:hint="eastAsia"/>
                <w:sz w:val="28"/>
                <w:szCs w:val="28"/>
              </w:rPr>
              <w:t>同以書面徵詢黃員等3人意願，其中黃員不同意受測，故僅就同意受測之張、劉2員進行測謊。</w:t>
            </w:r>
          </w:p>
        </w:tc>
        <w:tc>
          <w:tcPr>
            <w:tcW w:w="4224" w:type="dxa"/>
          </w:tcPr>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lastRenderedPageBreak/>
              <w:t>1．本案並非密件、未涉刑事責任，屬該府內部行政管理事項。因撰稿記者以新聞倫理為由拒絕提供來源，故僅能就臺北市政府同仁進行內部行政調查。該府政風</w:t>
            </w:r>
            <w:proofErr w:type="gramStart"/>
            <w:r w:rsidRPr="00741B91">
              <w:rPr>
                <w:rFonts w:hint="eastAsia"/>
                <w:sz w:val="28"/>
                <w:szCs w:val="28"/>
              </w:rPr>
              <w:t>處依政風</w:t>
            </w:r>
            <w:proofErr w:type="gramEnd"/>
            <w:r w:rsidRPr="00741B91">
              <w:rPr>
                <w:rFonts w:hint="eastAsia"/>
                <w:sz w:val="28"/>
                <w:szCs w:val="28"/>
              </w:rPr>
              <w:t>條例第9條規定，</w:t>
            </w:r>
            <w:proofErr w:type="gramStart"/>
            <w:r w:rsidRPr="00741B91">
              <w:rPr>
                <w:rFonts w:hint="eastAsia"/>
                <w:sz w:val="28"/>
                <w:szCs w:val="28"/>
              </w:rPr>
              <w:t>秉</w:t>
            </w:r>
            <w:proofErr w:type="gramEnd"/>
            <w:r w:rsidRPr="00741B91">
              <w:rPr>
                <w:rFonts w:hint="eastAsia"/>
                <w:sz w:val="28"/>
                <w:szCs w:val="28"/>
              </w:rPr>
              <w:t>首長指示辦理行政調查，亦無需陳報廉政署立案或備查。</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2．測謊常用於涉及刑事犯罪所採取之偵查手段，目前相關法律雖未規定行政調查不得測謊方式行之，</w:t>
            </w:r>
            <w:proofErr w:type="gramStart"/>
            <w:r w:rsidRPr="00741B91">
              <w:rPr>
                <w:rFonts w:hint="eastAsia"/>
                <w:sz w:val="28"/>
                <w:szCs w:val="28"/>
              </w:rPr>
              <w:t>惟測謊恐</w:t>
            </w:r>
            <w:proofErr w:type="gramEnd"/>
            <w:r w:rsidRPr="00741B91">
              <w:rPr>
                <w:rFonts w:hint="eastAsia"/>
                <w:sz w:val="28"/>
                <w:szCs w:val="28"/>
              </w:rPr>
              <w:t>遭質疑侵犯當事人人權之虞，仍應儘量避免。</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3．</w:t>
            </w:r>
            <w:proofErr w:type="gramStart"/>
            <w:r w:rsidRPr="00741B91">
              <w:rPr>
                <w:rFonts w:hint="eastAsia"/>
                <w:sz w:val="28"/>
                <w:szCs w:val="28"/>
              </w:rPr>
              <w:t>該案測謊</w:t>
            </w:r>
            <w:proofErr w:type="gramEnd"/>
            <w:r w:rsidRPr="00741B91">
              <w:rPr>
                <w:rFonts w:hint="eastAsia"/>
                <w:sz w:val="28"/>
                <w:szCs w:val="28"/>
              </w:rPr>
              <w:t>之結果僅係作為參考證據，</w:t>
            </w:r>
            <w:proofErr w:type="gramStart"/>
            <w:r w:rsidRPr="00741B91">
              <w:rPr>
                <w:rFonts w:hint="eastAsia"/>
                <w:sz w:val="28"/>
                <w:szCs w:val="28"/>
              </w:rPr>
              <w:t>於測謊前均已</w:t>
            </w:r>
            <w:proofErr w:type="gramEnd"/>
            <w:r w:rsidRPr="00741B91">
              <w:rPr>
                <w:rFonts w:hint="eastAsia"/>
                <w:sz w:val="28"/>
                <w:szCs w:val="28"/>
              </w:rPr>
              <w:t>明白告知</w:t>
            </w:r>
            <w:proofErr w:type="gramStart"/>
            <w:r w:rsidRPr="00741B91">
              <w:rPr>
                <w:rFonts w:hint="eastAsia"/>
                <w:sz w:val="28"/>
                <w:szCs w:val="28"/>
              </w:rPr>
              <w:t>受測人權利</w:t>
            </w:r>
            <w:proofErr w:type="gramEnd"/>
            <w:r w:rsidRPr="00741B91">
              <w:rPr>
                <w:rFonts w:hint="eastAsia"/>
                <w:sz w:val="28"/>
                <w:szCs w:val="28"/>
              </w:rPr>
              <w:t>，</w:t>
            </w:r>
            <w:proofErr w:type="gramStart"/>
            <w:r w:rsidRPr="00741B91">
              <w:rPr>
                <w:rFonts w:hint="eastAsia"/>
                <w:sz w:val="28"/>
                <w:szCs w:val="28"/>
              </w:rPr>
              <w:t>受測人基於</w:t>
            </w:r>
            <w:proofErr w:type="gramEnd"/>
            <w:r w:rsidRPr="00741B91">
              <w:rPr>
                <w:rFonts w:hint="eastAsia"/>
                <w:sz w:val="28"/>
                <w:szCs w:val="28"/>
              </w:rPr>
              <w:t>自由意願簽署同意書，並僅對同</w:t>
            </w:r>
            <w:r w:rsidRPr="00741B91">
              <w:rPr>
                <w:rFonts w:hint="eastAsia"/>
                <w:sz w:val="28"/>
                <w:szCs w:val="28"/>
              </w:rPr>
              <w:lastRenderedPageBreak/>
              <w:t>意受測者實施測謊，尊重不同意受測者意願。在法無明文禁止實施測謊，相關測謊之進行係當事人要求或經其同意後實施，尚無牴觸相關法規。</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4．本案公務電話為該府(秘書處)所有，臺北市政府秘書處為公務電話之電信事業用戶，且係依該辦法及雙方契約規定，僅調閱公務電話紀錄，並</w:t>
            </w:r>
            <w:r w:rsidRPr="00741B91">
              <w:rPr>
                <w:rFonts w:hint="eastAsia"/>
                <w:b/>
                <w:sz w:val="28"/>
                <w:szCs w:val="28"/>
              </w:rPr>
              <w:t>無調閱私人電話紀錄</w:t>
            </w:r>
            <w:r w:rsidRPr="00741B91">
              <w:rPr>
                <w:rFonts w:hint="eastAsia"/>
                <w:sz w:val="28"/>
                <w:szCs w:val="28"/>
              </w:rPr>
              <w:t>，已適當考量其比例及必要性。</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5．該府政風處</w:t>
            </w:r>
            <w:proofErr w:type="gramStart"/>
            <w:r w:rsidRPr="00741B91">
              <w:rPr>
                <w:rFonts w:hint="eastAsia"/>
                <w:sz w:val="28"/>
                <w:szCs w:val="28"/>
              </w:rPr>
              <w:t>嗣</w:t>
            </w:r>
            <w:proofErr w:type="gramEnd"/>
            <w:r w:rsidRPr="00741B91">
              <w:rPr>
                <w:rFonts w:hint="eastAsia"/>
                <w:sz w:val="28"/>
                <w:szCs w:val="28"/>
              </w:rPr>
              <w:t>依臺北市</w:t>
            </w:r>
            <w:r w:rsidRPr="00741B91">
              <w:rPr>
                <w:rFonts w:hint="eastAsia"/>
                <w:b/>
                <w:sz w:val="28"/>
                <w:szCs w:val="28"/>
              </w:rPr>
              <w:t>議會決議</w:t>
            </w:r>
            <w:r w:rsidRPr="00741B91">
              <w:rPr>
                <w:rFonts w:hint="eastAsia"/>
                <w:sz w:val="28"/>
                <w:szCs w:val="28"/>
              </w:rPr>
              <w:t>，要求該處暨所屬各政風機構，</w:t>
            </w:r>
            <w:r w:rsidRPr="00741B91">
              <w:rPr>
                <w:rFonts w:hint="eastAsia"/>
                <w:b/>
                <w:sz w:val="28"/>
                <w:szCs w:val="28"/>
              </w:rPr>
              <w:t>禁止使用測謊</w:t>
            </w:r>
            <w:r w:rsidRPr="00741B91">
              <w:rPr>
                <w:rFonts w:hint="eastAsia"/>
                <w:sz w:val="28"/>
                <w:szCs w:val="28"/>
              </w:rPr>
              <w:t>進行行政調查。</w:t>
            </w:r>
          </w:p>
          <w:p w:rsidR="00CF47AA" w:rsidRPr="00741B91" w:rsidRDefault="00CF47AA" w:rsidP="008207AB">
            <w:pPr>
              <w:pStyle w:val="3"/>
              <w:numPr>
                <w:ilvl w:val="0"/>
                <w:numId w:val="0"/>
              </w:numPr>
              <w:ind w:left="201" w:hangingChars="67" w:hanging="201"/>
              <w:rPr>
                <w:sz w:val="28"/>
                <w:szCs w:val="28"/>
              </w:rPr>
            </w:pPr>
            <w:r w:rsidRPr="00741B91">
              <w:rPr>
                <w:rFonts w:hint="eastAsia"/>
                <w:sz w:val="28"/>
                <w:szCs w:val="28"/>
              </w:rPr>
              <w:t>6．法務部陳明堂次長於本院約</w:t>
            </w:r>
            <w:proofErr w:type="gramStart"/>
            <w:r w:rsidRPr="00741B91">
              <w:rPr>
                <w:rFonts w:hint="eastAsia"/>
                <w:sz w:val="28"/>
                <w:szCs w:val="28"/>
              </w:rPr>
              <w:t>詢</w:t>
            </w:r>
            <w:proofErr w:type="gramEnd"/>
            <w:r w:rsidRPr="00741B91">
              <w:rPr>
                <w:rFonts w:hint="eastAsia"/>
                <w:sz w:val="28"/>
                <w:szCs w:val="28"/>
              </w:rPr>
              <w:t>時亦表示，過去刑事偵查</w:t>
            </w:r>
            <w:r w:rsidR="008207AB">
              <w:rPr>
                <w:rFonts w:hint="eastAsia"/>
                <w:sz w:val="28"/>
                <w:szCs w:val="28"/>
              </w:rPr>
              <w:t>其他</w:t>
            </w:r>
            <w:r w:rsidRPr="00741B91">
              <w:rPr>
                <w:rFonts w:hint="eastAsia"/>
                <w:sz w:val="28"/>
                <w:szCs w:val="28"/>
              </w:rPr>
              <w:t>媒體洩密案</w:t>
            </w:r>
            <w:r w:rsidR="008207AB">
              <w:rPr>
                <w:rFonts w:hint="eastAsia"/>
                <w:sz w:val="28"/>
                <w:szCs w:val="28"/>
              </w:rPr>
              <w:t>時</w:t>
            </w:r>
            <w:r w:rsidRPr="00741B91">
              <w:rPr>
                <w:rFonts w:hint="eastAsia"/>
                <w:sz w:val="28"/>
                <w:szCs w:val="28"/>
              </w:rPr>
              <w:t>，亦未使用測謊手段。</w:t>
            </w:r>
          </w:p>
        </w:tc>
      </w:tr>
      <w:tr w:rsidR="00741B91" w:rsidRPr="00741B91" w:rsidTr="005A6D2F">
        <w:trPr>
          <w:trHeight w:val="143"/>
        </w:trPr>
        <w:tc>
          <w:tcPr>
            <w:tcW w:w="492" w:type="dxa"/>
          </w:tcPr>
          <w:p w:rsidR="00CF47AA" w:rsidRPr="00741B91" w:rsidRDefault="00CF47AA" w:rsidP="005A6D2F">
            <w:pPr>
              <w:pStyle w:val="3"/>
              <w:numPr>
                <w:ilvl w:val="0"/>
                <w:numId w:val="0"/>
              </w:numPr>
              <w:rPr>
                <w:sz w:val="28"/>
                <w:szCs w:val="28"/>
              </w:rPr>
            </w:pPr>
            <w:r w:rsidRPr="00741B91">
              <w:rPr>
                <w:rFonts w:hint="eastAsia"/>
                <w:sz w:val="28"/>
                <w:szCs w:val="28"/>
              </w:rPr>
              <w:lastRenderedPageBreak/>
              <w:t>2</w:t>
            </w:r>
          </w:p>
        </w:tc>
        <w:tc>
          <w:tcPr>
            <w:tcW w:w="3733" w:type="dxa"/>
          </w:tcPr>
          <w:p w:rsidR="00CF47AA" w:rsidRPr="00741B91" w:rsidRDefault="00CF47AA" w:rsidP="00CF47AA">
            <w:pPr>
              <w:pStyle w:val="3"/>
              <w:numPr>
                <w:ilvl w:val="0"/>
                <w:numId w:val="0"/>
              </w:numPr>
              <w:ind w:left="174" w:hangingChars="58" w:hanging="174"/>
              <w:rPr>
                <w:sz w:val="28"/>
                <w:szCs w:val="28"/>
              </w:rPr>
            </w:pPr>
            <w:r w:rsidRPr="00741B91">
              <w:rPr>
                <w:rFonts w:hint="eastAsia"/>
                <w:sz w:val="28"/>
                <w:szCs w:val="28"/>
              </w:rPr>
              <w:t>1．105年10月2日，某電子報報導監察院99年糾正竹竿</w:t>
            </w:r>
            <w:proofErr w:type="gramStart"/>
            <w:r w:rsidRPr="00741B91">
              <w:rPr>
                <w:rFonts w:hint="eastAsia"/>
                <w:sz w:val="28"/>
                <w:szCs w:val="28"/>
              </w:rPr>
              <w:t>性侵女</w:t>
            </w:r>
            <w:proofErr w:type="gramEnd"/>
            <w:r w:rsidRPr="00741B91">
              <w:rPr>
                <w:rFonts w:hint="eastAsia"/>
                <w:sz w:val="28"/>
                <w:szCs w:val="28"/>
              </w:rPr>
              <w:t>童案調查報告之洩密事件，發布「揪內部</w:t>
            </w:r>
            <w:proofErr w:type="gramStart"/>
            <w:r w:rsidRPr="00741B91">
              <w:rPr>
                <w:rFonts w:hint="eastAsia"/>
                <w:sz w:val="28"/>
                <w:szCs w:val="28"/>
              </w:rPr>
              <w:t>洩密錯引法條</w:t>
            </w:r>
            <w:proofErr w:type="gramEnd"/>
            <w:r w:rsidRPr="00741B91">
              <w:rPr>
                <w:rFonts w:hint="eastAsia"/>
                <w:sz w:val="28"/>
                <w:szCs w:val="28"/>
              </w:rPr>
              <w:t>?假傳聖旨?監院政風違法調記者通聯」、「違法濫權侵犯新聞自由」及「</w:t>
            </w:r>
            <w:proofErr w:type="gramStart"/>
            <w:r w:rsidRPr="00741B91">
              <w:rPr>
                <w:rFonts w:hint="eastAsia"/>
                <w:sz w:val="28"/>
                <w:szCs w:val="28"/>
              </w:rPr>
              <w:t>駁未洩密</w:t>
            </w:r>
            <w:proofErr w:type="gramEnd"/>
            <w:r w:rsidRPr="00741B91">
              <w:rPr>
                <w:rFonts w:hint="eastAsia"/>
                <w:sz w:val="28"/>
                <w:szCs w:val="28"/>
              </w:rPr>
              <w:t>，調查官自力救濟找事證」等3則報導。</w:t>
            </w:r>
          </w:p>
          <w:p w:rsidR="00CF47AA" w:rsidRPr="00741B91" w:rsidRDefault="00CF47AA" w:rsidP="00CF47AA">
            <w:pPr>
              <w:pStyle w:val="3"/>
              <w:numPr>
                <w:ilvl w:val="0"/>
                <w:numId w:val="0"/>
              </w:numPr>
              <w:ind w:left="174" w:hangingChars="58" w:hanging="174"/>
              <w:rPr>
                <w:sz w:val="28"/>
                <w:szCs w:val="28"/>
              </w:rPr>
            </w:pPr>
            <w:r w:rsidRPr="00741B91">
              <w:rPr>
                <w:rFonts w:hint="eastAsia"/>
                <w:sz w:val="28"/>
                <w:szCs w:val="28"/>
              </w:rPr>
              <w:t>2．監察院前以99年5月11日第4屆第23次院會臨時動</w:t>
            </w:r>
            <w:r w:rsidRPr="00741B91">
              <w:rPr>
                <w:rFonts w:hint="eastAsia"/>
                <w:sz w:val="28"/>
                <w:szCs w:val="28"/>
              </w:rPr>
              <w:lastRenderedPageBreak/>
              <w:t>議第1案決議：「…</w:t>
            </w:r>
            <w:proofErr w:type="gramStart"/>
            <w:r w:rsidRPr="00741B91">
              <w:rPr>
                <w:rFonts w:hint="eastAsia"/>
                <w:sz w:val="28"/>
                <w:szCs w:val="28"/>
              </w:rPr>
              <w:t>…</w:t>
            </w:r>
            <w:proofErr w:type="gramEnd"/>
            <w:r w:rsidRPr="00741B91">
              <w:rPr>
                <w:rFonts w:hint="eastAsia"/>
                <w:sz w:val="28"/>
                <w:szCs w:val="28"/>
              </w:rPr>
              <w:t>個案洩密問題，請政風室調查處理。」政風室</w:t>
            </w:r>
            <w:proofErr w:type="gramStart"/>
            <w:r w:rsidRPr="00741B91">
              <w:rPr>
                <w:rFonts w:hint="eastAsia"/>
                <w:sz w:val="28"/>
                <w:szCs w:val="28"/>
              </w:rPr>
              <w:t>爰奉示</w:t>
            </w:r>
            <w:proofErr w:type="gramEnd"/>
            <w:r w:rsidRPr="00741B91">
              <w:rPr>
                <w:rFonts w:hint="eastAsia"/>
                <w:sz w:val="28"/>
                <w:szCs w:val="28"/>
              </w:rPr>
              <w:t>進行洩密調查，並經</w:t>
            </w:r>
            <w:proofErr w:type="gramStart"/>
            <w:r w:rsidRPr="00741B91">
              <w:rPr>
                <w:rFonts w:hint="eastAsia"/>
                <w:sz w:val="28"/>
                <w:szCs w:val="28"/>
              </w:rPr>
              <w:t>簽准</w:t>
            </w:r>
            <w:r w:rsidRPr="00741B91">
              <w:rPr>
                <w:rFonts w:hint="eastAsia"/>
                <w:b/>
                <w:sz w:val="28"/>
                <w:szCs w:val="28"/>
              </w:rPr>
              <w:t>調閱</w:t>
            </w:r>
            <w:proofErr w:type="gramEnd"/>
            <w:r w:rsidRPr="00741B91">
              <w:rPr>
                <w:rFonts w:hint="eastAsia"/>
                <w:sz w:val="28"/>
                <w:szCs w:val="28"/>
              </w:rPr>
              <w:t>該案林姓調查官及撰稿</w:t>
            </w:r>
            <w:r w:rsidRPr="00741B91">
              <w:rPr>
                <w:rFonts w:hint="eastAsia"/>
                <w:b/>
                <w:sz w:val="28"/>
                <w:szCs w:val="28"/>
              </w:rPr>
              <w:t>記者之電話通聯</w:t>
            </w:r>
            <w:r w:rsidRPr="00741B91">
              <w:rPr>
                <w:rFonts w:hint="eastAsia"/>
                <w:sz w:val="28"/>
                <w:szCs w:val="28"/>
              </w:rPr>
              <w:t>紀錄。</w:t>
            </w:r>
          </w:p>
        </w:tc>
        <w:tc>
          <w:tcPr>
            <w:tcW w:w="4224" w:type="dxa"/>
          </w:tcPr>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lastRenderedPageBreak/>
              <w:t>1．本</w:t>
            </w:r>
            <w:proofErr w:type="gramStart"/>
            <w:r w:rsidRPr="00741B91">
              <w:rPr>
                <w:rFonts w:hint="eastAsia"/>
                <w:sz w:val="28"/>
                <w:szCs w:val="28"/>
              </w:rPr>
              <w:t>案係銜首長</w:t>
            </w:r>
            <w:proofErr w:type="gramEnd"/>
            <w:r w:rsidRPr="00741B91">
              <w:rPr>
                <w:rFonts w:hint="eastAsia"/>
                <w:sz w:val="28"/>
                <w:szCs w:val="28"/>
              </w:rPr>
              <w:t>之命(院會決議</w:t>
            </w:r>
            <w:proofErr w:type="gramStart"/>
            <w:r w:rsidRPr="00741B91">
              <w:rPr>
                <w:rFonts w:hint="eastAsia"/>
                <w:sz w:val="28"/>
                <w:szCs w:val="28"/>
              </w:rPr>
              <w:t>）</w:t>
            </w:r>
            <w:proofErr w:type="gramEnd"/>
            <w:r w:rsidRPr="00741B91">
              <w:rPr>
                <w:rFonts w:hint="eastAsia"/>
                <w:sz w:val="28"/>
                <w:szCs w:val="28"/>
              </w:rPr>
              <w:t>，辦理有關洩密不法事項調查。</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2．調閱相關通聯紀錄之法令依據為監察法第30條、電信法第7條、電信事業用戶查詢通信紀錄作業辦法第3條、電信事業處理有關機關(構)查詢電信使用者資料實施辦法第3條第1項。</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3．有關通信紀錄定義及聲請調取通信紀錄須經法院同意之</w:t>
            </w:r>
            <w:r w:rsidRPr="00741B91">
              <w:rPr>
                <w:rFonts w:hint="eastAsia"/>
                <w:sz w:val="28"/>
                <w:szCs w:val="28"/>
              </w:rPr>
              <w:lastRenderedPageBreak/>
              <w:t>程序規定，係103年1月29日增訂通訊保障及監察法第3</w:t>
            </w:r>
            <w:r w:rsidR="00F817EA">
              <w:rPr>
                <w:rFonts w:hint="eastAsia"/>
                <w:sz w:val="28"/>
                <w:szCs w:val="28"/>
              </w:rPr>
              <w:t>條之1</w:t>
            </w:r>
            <w:r w:rsidRPr="00741B91">
              <w:rPr>
                <w:rFonts w:hint="eastAsia"/>
                <w:sz w:val="28"/>
                <w:szCs w:val="28"/>
              </w:rPr>
              <w:t>、第11條</w:t>
            </w:r>
            <w:r w:rsidR="00F817EA">
              <w:rPr>
                <w:rFonts w:hint="eastAsia"/>
                <w:sz w:val="28"/>
                <w:szCs w:val="28"/>
              </w:rPr>
              <w:t>之1</w:t>
            </w:r>
            <w:r w:rsidRPr="00741B91">
              <w:rPr>
                <w:rFonts w:hint="eastAsia"/>
                <w:sz w:val="28"/>
                <w:szCs w:val="28"/>
              </w:rPr>
              <w:t>，因前開案件發生於99年5月間，故當時依上開規定</w:t>
            </w:r>
            <w:proofErr w:type="gramStart"/>
            <w:r w:rsidRPr="00741B91">
              <w:rPr>
                <w:rFonts w:hint="eastAsia"/>
                <w:sz w:val="28"/>
                <w:szCs w:val="28"/>
              </w:rPr>
              <w:t>調取通聯</w:t>
            </w:r>
            <w:proofErr w:type="gramEnd"/>
            <w:r w:rsidRPr="00741B91">
              <w:rPr>
                <w:rFonts w:hint="eastAsia"/>
                <w:sz w:val="28"/>
                <w:szCs w:val="28"/>
              </w:rPr>
              <w:t>紀錄，尚無違反相關規定。</w:t>
            </w:r>
          </w:p>
          <w:p w:rsidR="00CF47AA" w:rsidRPr="00741B91" w:rsidRDefault="00CF47AA" w:rsidP="00CF47AA">
            <w:pPr>
              <w:pStyle w:val="3"/>
              <w:numPr>
                <w:ilvl w:val="0"/>
                <w:numId w:val="0"/>
              </w:numPr>
              <w:ind w:left="201" w:hangingChars="67" w:hanging="201"/>
              <w:rPr>
                <w:sz w:val="28"/>
                <w:szCs w:val="28"/>
              </w:rPr>
            </w:pPr>
            <w:r w:rsidRPr="00741B91">
              <w:rPr>
                <w:rFonts w:hint="eastAsia"/>
                <w:sz w:val="28"/>
                <w:szCs w:val="28"/>
              </w:rPr>
              <w:t>4．廉政</w:t>
            </w:r>
            <w:proofErr w:type="gramStart"/>
            <w:r w:rsidRPr="00741B91">
              <w:rPr>
                <w:rFonts w:hint="eastAsia"/>
                <w:sz w:val="28"/>
                <w:szCs w:val="28"/>
              </w:rPr>
              <w:t>署</w:t>
            </w:r>
            <w:proofErr w:type="gramEnd"/>
            <w:r w:rsidRPr="00741B91">
              <w:rPr>
                <w:rFonts w:hint="eastAsia"/>
                <w:sz w:val="28"/>
                <w:szCs w:val="28"/>
              </w:rPr>
              <w:t>署長賴哲雄於本院106年7月21日詢問時表示：「政風人員本身不可能是行使（監察法）第30條的主體，但他是依監察院的會議決議辦理，他做的是行政調查。」法務部次長陳明堂亦表示：「我也認為不宜。理論上要調查，也要監委立案調查才可以。」</w:t>
            </w:r>
          </w:p>
        </w:tc>
      </w:tr>
    </w:tbl>
    <w:p w:rsidR="00CF47AA" w:rsidRPr="00741B91" w:rsidRDefault="00CF47AA" w:rsidP="00CF47AA">
      <w:pPr>
        <w:pStyle w:val="3"/>
        <w:numPr>
          <w:ilvl w:val="0"/>
          <w:numId w:val="0"/>
        </w:numPr>
        <w:ind w:left="1361"/>
      </w:pPr>
    </w:p>
    <w:p w:rsidR="00CF47AA" w:rsidRPr="00741B91" w:rsidRDefault="00CF47AA" w:rsidP="00CF47AA">
      <w:pPr>
        <w:pStyle w:val="3"/>
        <w:numPr>
          <w:ilvl w:val="2"/>
          <w:numId w:val="1"/>
        </w:numPr>
      </w:pPr>
      <w:r w:rsidRPr="00741B91">
        <w:rPr>
          <w:rFonts w:hint="eastAsia"/>
        </w:rPr>
        <w:t>茲將前揭案例之適法性分析如次：</w:t>
      </w:r>
    </w:p>
    <w:p w:rsidR="00CF47AA" w:rsidRPr="00741B91" w:rsidRDefault="00CF47AA" w:rsidP="00CF47AA">
      <w:pPr>
        <w:pStyle w:val="4"/>
        <w:numPr>
          <w:ilvl w:val="3"/>
          <w:numId w:val="1"/>
        </w:numPr>
      </w:pPr>
      <w:r w:rsidRPr="00741B91">
        <w:rPr>
          <w:rFonts w:hint="eastAsia"/>
        </w:rPr>
        <w:t>案例１部分：</w:t>
      </w:r>
    </w:p>
    <w:p w:rsidR="00CF47AA" w:rsidRPr="00741B91" w:rsidRDefault="00CF47AA" w:rsidP="00CF47AA">
      <w:pPr>
        <w:ind w:leftChars="500" w:left="1701" w:firstLineChars="191" w:firstLine="650"/>
      </w:pPr>
      <w:r w:rsidRPr="00741B91">
        <w:rPr>
          <w:rFonts w:hint="eastAsia"/>
        </w:rPr>
        <w:t>目前刑事訴訟實務上，法官或檢察官依最高法院歷年判決意旨取得被告同意而依刑事訴訟法第</w:t>
      </w:r>
      <w:r w:rsidRPr="00741B91">
        <w:t>208</w:t>
      </w:r>
      <w:r w:rsidRPr="00741B91">
        <w:rPr>
          <w:rFonts w:hint="eastAsia"/>
        </w:rPr>
        <w:t>條囑託機關進行測謊鑑定，作為認定犯罪事實之證據。然被告在刑事訴訟程序上</w:t>
      </w:r>
      <w:proofErr w:type="gramStart"/>
      <w:r w:rsidRPr="00741B91">
        <w:rPr>
          <w:rFonts w:hint="eastAsia"/>
        </w:rPr>
        <w:t>係屬受強制處分</w:t>
      </w:r>
      <w:proofErr w:type="gramEnd"/>
      <w:r w:rsidRPr="00741B91">
        <w:rPr>
          <w:rFonts w:hint="eastAsia"/>
        </w:rPr>
        <w:t>之一方，被告或犯罪嫌疑人面對國家以公權力搜索、羈押、追訴罪責的龐大壓力下之同意，顯然欠缺自願性，恐有違反聯合國公民與政治權利國際公約第</w:t>
      </w:r>
      <w:r w:rsidRPr="00741B91">
        <w:t>14</w:t>
      </w:r>
      <w:r w:rsidRPr="00741B91">
        <w:rPr>
          <w:rFonts w:hint="eastAsia"/>
        </w:rPr>
        <w:t>條第</w:t>
      </w:r>
      <w:r w:rsidRPr="00741B91">
        <w:t>3</w:t>
      </w:r>
      <w:r w:rsidRPr="00741B91">
        <w:rPr>
          <w:rFonts w:hint="eastAsia"/>
        </w:rPr>
        <w:t>項第</w:t>
      </w:r>
      <w:r w:rsidRPr="00741B91">
        <w:t>7</w:t>
      </w:r>
      <w:r w:rsidRPr="00741B91">
        <w:rPr>
          <w:rFonts w:hint="eastAsia"/>
        </w:rPr>
        <w:t>款所定刑事訴訟程序應遵守之被告不自證己罪原則之最低限度標準及憲法第</w:t>
      </w:r>
      <w:r w:rsidRPr="00741B91">
        <w:t>16</w:t>
      </w:r>
      <w:r w:rsidRPr="00741B91">
        <w:rPr>
          <w:rFonts w:hint="eastAsia"/>
        </w:rPr>
        <w:t>條人民訴訟權之保障。其次，測謊鑑定機關法務部調查局、內政部警政署刑事</w:t>
      </w:r>
      <w:proofErr w:type="gramStart"/>
      <w:r w:rsidRPr="00741B91">
        <w:rPr>
          <w:rFonts w:hint="eastAsia"/>
        </w:rPr>
        <w:t>警察局及憲兵指揮部之測謊</w:t>
      </w:r>
      <w:proofErr w:type="gramEnd"/>
      <w:r w:rsidRPr="00741B91">
        <w:rPr>
          <w:rFonts w:hint="eastAsia"/>
        </w:rPr>
        <w:t>鑑定標準作業程序規範並未一致，亦無覆核驗證鑑定結果之機制，</w:t>
      </w:r>
      <w:proofErr w:type="gramStart"/>
      <w:r w:rsidRPr="00741B91">
        <w:rPr>
          <w:rFonts w:hint="eastAsia"/>
        </w:rPr>
        <w:t>致測謊</w:t>
      </w:r>
      <w:proofErr w:type="gramEnd"/>
      <w:r w:rsidRPr="00741B91">
        <w:rPr>
          <w:rFonts w:hint="eastAsia"/>
        </w:rPr>
        <w:t>鑑定時有迥然不同之結果。</w:t>
      </w:r>
      <w:proofErr w:type="gramStart"/>
      <w:r w:rsidRPr="00741B91">
        <w:rPr>
          <w:rFonts w:hint="eastAsia"/>
        </w:rPr>
        <w:t>又測謊</w:t>
      </w:r>
      <w:proofErr w:type="gramEnd"/>
      <w:r w:rsidRPr="00741B91">
        <w:rPr>
          <w:rFonts w:hint="eastAsia"/>
        </w:rPr>
        <w:t>鑑定結</w:t>
      </w:r>
      <w:r w:rsidRPr="00741B91">
        <w:rPr>
          <w:rFonts w:hint="eastAsia"/>
        </w:rPr>
        <w:lastRenderedPageBreak/>
        <w:t>果，並無如同指紋、血型、去氧</w:t>
      </w:r>
      <w:r w:rsidR="00786ACA">
        <w:rPr>
          <w:rFonts w:hint="eastAsia"/>
        </w:rPr>
        <w:t>核醣</w:t>
      </w:r>
      <w:r w:rsidRPr="00741B91">
        <w:rPr>
          <w:rFonts w:hint="eastAsia"/>
        </w:rPr>
        <w:t>核酸、毒品或化學物質、物理性質之</w:t>
      </w:r>
      <w:proofErr w:type="gramStart"/>
      <w:r w:rsidRPr="00741B91">
        <w:rPr>
          <w:rFonts w:hint="eastAsia"/>
        </w:rPr>
        <w:t>鑑驗等</w:t>
      </w:r>
      <w:proofErr w:type="gramEnd"/>
      <w:r w:rsidRPr="00741B91">
        <w:rPr>
          <w:rFonts w:hint="eastAsia"/>
        </w:rPr>
        <w:t>之「再現性」。且鑑定準確度取決於施測人員之專業智能、性格、施測程序、方法、經驗、態度等諸多因素等各項能力，倘無DNA鑑定或緝獲真</w:t>
      </w:r>
      <w:proofErr w:type="gramStart"/>
      <w:r w:rsidRPr="00741B91">
        <w:rPr>
          <w:rFonts w:hint="eastAsia"/>
        </w:rPr>
        <w:t>兇</w:t>
      </w:r>
      <w:proofErr w:type="gramEnd"/>
      <w:r w:rsidRPr="00741B91">
        <w:rPr>
          <w:rFonts w:hint="eastAsia"/>
        </w:rPr>
        <w:t>等確切證據佐證，</w:t>
      </w:r>
      <w:proofErr w:type="gramStart"/>
      <w:r w:rsidRPr="00741B91">
        <w:rPr>
          <w:rFonts w:hint="eastAsia"/>
        </w:rPr>
        <w:t>誠難判斷</w:t>
      </w:r>
      <w:proofErr w:type="gramEnd"/>
      <w:r w:rsidRPr="00741B91">
        <w:rPr>
          <w:rFonts w:hint="eastAsia"/>
        </w:rPr>
        <w:t>各個測謊鑑定結果之準確性。</w:t>
      </w:r>
    </w:p>
    <w:p w:rsidR="00CF47AA" w:rsidRPr="00741B91" w:rsidRDefault="00CF47AA" w:rsidP="00CF47AA">
      <w:pPr>
        <w:ind w:leftChars="500" w:left="1701" w:firstLineChars="191" w:firstLine="650"/>
      </w:pPr>
      <w:r w:rsidRPr="00741B91">
        <w:rPr>
          <w:rFonts w:hint="eastAsia"/>
        </w:rPr>
        <w:t>再查，不自證己罪原則，係禁止強迫被告為不利己之陳述，同時也是正當法律程序原則保證被告防禦權的基本原則 。</w:t>
      </w:r>
      <w:proofErr w:type="gramStart"/>
      <w:r w:rsidRPr="00741B91">
        <w:rPr>
          <w:rFonts w:hint="eastAsia"/>
        </w:rPr>
        <w:t>測謊係對</w:t>
      </w:r>
      <w:proofErr w:type="gramEnd"/>
      <w:r w:rsidRPr="00741B91">
        <w:rPr>
          <w:rFonts w:hint="eastAsia"/>
        </w:rPr>
        <w:t>人類心智活動的監測方法，對</w:t>
      </w:r>
      <w:proofErr w:type="gramStart"/>
      <w:r w:rsidRPr="00741B91">
        <w:rPr>
          <w:rFonts w:hint="eastAsia"/>
        </w:rPr>
        <w:t>受測人生理</w:t>
      </w:r>
      <w:proofErr w:type="gramEnd"/>
      <w:r w:rsidRPr="00741B91">
        <w:rPr>
          <w:rFonts w:hint="eastAsia"/>
        </w:rPr>
        <w:t>、心理反應結果所作評斷，</w:t>
      </w:r>
      <w:proofErr w:type="gramStart"/>
      <w:r w:rsidRPr="00741B91">
        <w:rPr>
          <w:rFonts w:hint="eastAsia"/>
        </w:rPr>
        <w:t>受測人無從</w:t>
      </w:r>
      <w:proofErr w:type="gramEnd"/>
      <w:r w:rsidRPr="00741B91">
        <w:rPr>
          <w:rFonts w:hint="eastAsia"/>
        </w:rPr>
        <w:t>保持緘默，違反法治國家人格權及人性尊嚴保障之虞。刑事訴訟程序中採取測謊鑑定，</w:t>
      </w:r>
      <w:proofErr w:type="gramStart"/>
      <w:r w:rsidRPr="00741B91">
        <w:rPr>
          <w:rFonts w:hint="eastAsia"/>
        </w:rPr>
        <w:t>核屬對</w:t>
      </w:r>
      <w:proofErr w:type="gramEnd"/>
      <w:r w:rsidRPr="00741B91">
        <w:rPr>
          <w:rFonts w:hint="eastAsia"/>
        </w:rPr>
        <w:t>人內心所知、</w:t>
      </w:r>
      <w:proofErr w:type="gramStart"/>
      <w:r w:rsidRPr="00741B91">
        <w:rPr>
          <w:rFonts w:hint="eastAsia"/>
        </w:rPr>
        <w:t>所思或所</w:t>
      </w:r>
      <w:proofErr w:type="gramEnd"/>
      <w:r w:rsidRPr="00741B91">
        <w:rPr>
          <w:rFonts w:hint="eastAsia"/>
        </w:rPr>
        <w:t>信進行檢查，此所以最高法院95年度台上字第2254號判決理由指明：「刑事程序</w:t>
      </w:r>
      <w:proofErr w:type="gramStart"/>
      <w:r w:rsidRPr="00741B91">
        <w:rPr>
          <w:rFonts w:hint="eastAsia"/>
        </w:rPr>
        <w:t>上之測謊</w:t>
      </w:r>
      <w:proofErr w:type="gramEnd"/>
      <w:r w:rsidRPr="00741B91">
        <w:rPr>
          <w:rFonts w:hint="eastAsia"/>
        </w:rPr>
        <w:t>，係對於人之內心的檢查，具有侵害個人內心自由及意思活動之心理檢查的性質，其對人格權之侵害，猶勝對被告緘默權之違反。」</w:t>
      </w:r>
    </w:p>
    <w:p w:rsidR="00CF47AA" w:rsidRPr="00741B91" w:rsidRDefault="00CF47AA" w:rsidP="00CF47AA">
      <w:pPr>
        <w:ind w:leftChars="500" w:left="1701" w:firstLineChars="191" w:firstLine="650"/>
      </w:pPr>
      <w:r w:rsidRPr="00741B91">
        <w:rPr>
          <w:rFonts w:hint="eastAsia"/>
        </w:rPr>
        <w:t>基此，臺北市政府調查洩密案，法務部函</w:t>
      </w:r>
      <w:proofErr w:type="gramStart"/>
      <w:r w:rsidRPr="00741B91">
        <w:rPr>
          <w:rFonts w:hint="eastAsia"/>
        </w:rPr>
        <w:t>復固稱</w:t>
      </w:r>
      <w:proofErr w:type="gramEnd"/>
      <w:r w:rsidRPr="00741B91">
        <w:rPr>
          <w:rFonts w:hint="eastAsia"/>
        </w:rPr>
        <w:t>該案並未對拒絕</w:t>
      </w:r>
      <w:proofErr w:type="gramStart"/>
      <w:r w:rsidRPr="00741B91">
        <w:rPr>
          <w:rFonts w:hint="eastAsia"/>
        </w:rPr>
        <w:t>同意者施測</w:t>
      </w:r>
      <w:proofErr w:type="gramEnd"/>
      <w:r w:rsidRPr="00741B91">
        <w:rPr>
          <w:rFonts w:hint="eastAsia"/>
        </w:rPr>
        <w:t>，受測者係主動提出接受測謊。然在測謊鑑定準確度取決於施測人員經驗、方法等，及目前各測謊鑑定機關並無覆核驗證機制，且標準流程不一之現況下，率以行政調查之藉口進行測謊，顯已構成人權之侵害。</w:t>
      </w:r>
      <w:proofErr w:type="gramStart"/>
      <w:r w:rsidRPr="00741B91">
        <w:rPr>
          <w:rFonts w:hint="eastAsia"/>
        </w:rPr>
        <w:t>況</w:t>
      </w:r>
      <w:proofErr w:type="gramEnd"/>
      <w:r w:rsidRPr="00741B91">
        <w:rPr>
          <w:rFonts w:hint="eastAsia"/>
        </w:rPr>
        <w:t>查，在「行政一體」之前提下，機關首長掌握同仁考評權限及行政倫理背景下，未同意接受</w:t>
      </w:r>
      <w:proofErr w:type="gramStart"/>
      <w:r w:rsidRPr="00741B91">
        <w:rPr>
          <w:rFonts w:hint="eastAsia"/>
        </w:rPr>
        <w:t>測謊者將</w:t>
      </w:r>
      <w:proofErr w:type="gramEnd"/>
      <w:r w:rsidRPr="00741B91">
        <w:rPr>
          <w:rFonts w:hint="eastAsia"/>
        </w:rPr>
        <w:t>遭受龐大質疑與壓力，自難確保其受測之任意性，既任意性有疑義，即難期獲得施測正確之結果，恐迫使被調查者為不利己陳述而違反不自證己罪原則。對此，法務部</w:t>
      </w:r>
      <w:proofErr w:type="gramStart"/>
      <w:r w:rsidRPr="00741B91">
        <w:rPr>
          <w:rFonts w:hint="eastAsia"/>
        </w:rPr>
        <w:t>查復本院</w:t>
      </w:r>
      <w:proofErr w:type="gramEnd"/>
      <w:r w:rsidRPr="00741B91">
        <w:rPr>
          <w:rFonts w:hint="eastAsia"/>
        </w:rPr>
        <w:t>又稱：</w:t>
      </w:r>
      <w:r w:rsidRPr="00741B91">
        <w:rPr>
          <w:rFonts w:hint="eastAsia"/>
        </w:rPr>
        <w:lastRenderedPageBreak/>
        <w:t>「測謊涉及人權保障，須審慎為之，儘量避免</w:t>
      </w:r>
      <w:r w:rsidR="009C6EBE">
        <w:rPr>
          <w:rFonts w:hint="eastAsia"/>
        </w:rPr>
        <w:t>。</w:t>
      </w:r>
      <w:r w:rsidRPr="00741B91">
        <w:rPr>
          <w:rFonts w:hint="eastAsia"/>
        </w:rPr>
        <w:t>」</w:t>
      </w:r>
      <w:proofErr w:type="gramStart"/>
      <w:r w:rsidRPr="00741B91">
        <w:rPr>
          <w:rFonts w:hint="eastAsia"/>
        </w:rPr>
        <w:t>然則，該部於</w:t>
      </w:r>
      <w:proofErr w:type="gramEnd"/>
      <w:r w:rsidRPr="00741B91">
        <w:rPr>
          <w:rFonts w:hint="eastAsia"/>
        </w:rPr>
        <w:t>本案立案調查後，廉政署於106年3月20日</w:t>
      </w:r>
      <w:proofErr w:type="gramStart"/>
      <w:r w:rsidRPr="00741B91">
        <w:rPr>
          <w:rFonts w:hint="eastAsia"/>
        </w:rPr>
        <w:t>所函頒之</w:t>
      </w:r>
      <w:proofErr w:type="gramEnd"/>
      <w:r w:rsidRPr="00741B91">
        <w:rPr>
          <w:rFonts w:hint="eastAsia"/>
        </w:rPr>
        <w:t>「政風人員執行行政調查作為之原則及參考作法」卻仍將「測謊」，列為項次第24之「針對當事人所為之行政調查作為」，不但對政風人員產生手段適法性之混淆又前後矛盾，且既然涉及人權保障卻未以法律</w:t>
      </w:r>
      <w:proofErr w:type="gramStart"/>
      <w:r w:rsidRPr="00741B91">
        <w:rPr>
          <w:rFonts w:hint="eastAsia"/>
        </w:rPr>
        <w:t>律</w:t>
      </w:r>
      <w:proofErr w:type="gramEnd"/>
      <w:r w:rsidRPr="00741B91">
        <w:rPr>
          <w:rFonts w:hint="eastAsia"/>
        </w:rPr>
        <w:t>定，顯然違反法律保留及不自證己罪原則，殊有違誤。</w:t>
      </w:r>
    </w:p>
    <w:p w:rsidR="00CF47AA" w:rsidRPr="00741B91" w:rsidRDefault="00CF47AA" w:rsidP="00CF47AA">
      <w:pPr>
        <w:ind w:leftChars="500" w:left="1701" w:firstLineChars="191" w:firstLine="650"/>
      </w:pPr>
      <w:r w:rsidRPr="00741B91">
        <w:rPr>
          <w:rFonts w:hint="eastAsia"/>
        </w:rPr>
        <w:t>綜上，</w:t>
      </w:r>
      <w:proofErr w:type="gramStart"/>
      <w:r w:rsidRPr="00741B91">
        <w:rPr>
          <w:rFonts w:hint="eastAsia"/>
        </w:rPr>
        <w:t>測謊係對</w:t>
      </w:r>
      <w:proofErr w:type="gramEnd"/>
      <w:r w:rsidRPr="00741B91">
        <w:rPr>
          <w:rFonts w:hint="eastAsia"/>
        </w:rPr>
        <w:t>人類心智活動的監測方法，</w:t>
      </w:r>
      <w:proofErr w:type="gramStart"/>
      <w:r w:rsidRPr="00741B91">
        <w:rPr>
          <w:rFonts w:hint="eastAsia"/>
        </w:rPr>
        <w:t>受測人無從</w:t>
      </w:r>
      <w:proofErr w:type="gramEnd"/>
      <w:r w:rsidRPr="00741B91">
        <w:rPr>
          <w:rFonts w:hint="eastAsia"/>
        </w:rPr>
        <w:t>保持緘默，嚴重侵害人民權益，於刑事司法程序中使用已產生相當爭議與質疑，在行政調查自應予禁止，法務部卻認為雖無法令規定，但政風人員使用</w:t>
      </w:r>
      <w:proofErr w:type="gramStart"/>
      <w:r w:rsidRPr="00741B91">
        <w:rPr>
          <w:rFonts w:hint="eastAsia"/>
        </w:rPr>
        <w:t>測謊並無</w:t>
      </w:r>
      <w:proofErr w:type="gramEnd"/>
      <w:r w:rsidRPr="00741B91">
        <w:rPr>
          <w:rFonts w:hint="eastAsia"/>
        </w:rPr>
        <w:t>不妥，容有違誤。臺北市政府調查洩密案已經臺北市議會決議，政風處禁止使用測謊進行調查，對公務員施用測謊，核與法律保留及比例原則不符，殊有未當。</w:t>
      </w:r>
    </w:p>
    <w:p w:rsidR="00CF47AA" w:rsidRPr="00741B91" w:rsidRDefault="00CF47AA" w:rsidP="00CF47AA">
      <w:pPr>
        <w:pStyle w:val="4"/>
        <w:numPr>
          <w:ilvl w:val="3"/>
          <w:numId w:val="1"/>
        </w:numPr>
      </w:pPr>
      <w:r w:rsidRPr="00741B91">
        <w:rPr>
          <w:rFonts w:hint="eastAsia"/>
        </w:rPr>
        <w:t>案例２部分：</w:t>
      </w:r>
    </w:p>
    <w:p w:rsidR="00CF47AA" w:rsidRPr="00741B91" w:rsidRDefault="00CF47AA" w:rsidP="00CF47AA">
      <w:pPr>
        <w:ind w:leftChars="500" w:left="1701" w:firstLineChars="191" w:firstLine="650"/>
      </w:pPr>
      <w:r w:rsidRPr="00741B91">
        <w:rPr>
          <w:rFonts w:hint="eastAsia"/>
        </w:rPr>
        <w:t>監察院政風室調查洩密</w:t>
      </w:r>
      <w:proofErr w:type="gramStart"/>
      <w:r w:rsidRPr="00741B91">
        <w:rPr>
          <w:rFonts w:hint="eastAsia"/>
        </w:rPr>
        <w:t>案固係依據</w:t>
      </w:r>
      <w:proofErr w:type="gramEnd"/>
      <w:r w:rsidRPr="00741B91">
        <w:rPr>
          <w:rFonts w:hint="eastAsia"/>
        </w:rPr>
        <w:t>院會決議為之，然監察法第30條之性質屬於監察調查</w:t>
      </w:r>
      <w:r w:rsidR="00786ACA">
        <w:rPr>
          <w:rFonts w:hint="eastAsia"/>
        </w:rPr>
        <w:t>權</w:t>
      </w:r>
      <w:r w:rsidRPr="00741B91">
        <w:rPr>
          <w:rFonts w:hint="eastAsia"/>
        </w:rPr>
        <w:t>，而政風機構與人員所得辦理業務為行政機關內部控制事項，調查對象以公務員及公務設備、物品為限，配置於監察機關之政風機構與人員，不因機關首長同意或授權，而得逾越</w:t>
      </w:r>
      <w:r w:rsidR="00C17251">
        <w:rPr>
          <w:rFonts w:hint="eastAsia"/>
        </w:rPr>
        <w:t>行政調查</w:t>
      </w:r>
      <w:r w:rsidRPr="00741B91">
        <w:rPr>
          <w:rFonts w:hint="eastAsia"/>
        </w:rPr>
        <w:t>界限，而將一般民眾納為調查對象。因此，監察院政風室行使行政調查權，應在權力分立原則下，合乎法定程序，以調閱公務電話通聯紀錄為限，無從調閱同仁個人甚至一般民眾之電話通聯紀錄。然則該案中，政風室不但調閱同仁個人，甚至調閱記者之電話通聯紀錄，顯然逾越行政調查權限而違反比例原則。</w:t>
      </w:r>
      <w:proofErr w:type="gramStart"/>
      <w:r w:rsidRPr="00741B91">
        <w:rPr>
          <w:rFonts w:hint="eastAsia"/>
        </w:rPr>
        <w:t>再者，</w:t>
      </w:r>
      <w:proofErr w:type="gramEnd"/>
      <w:r w:rsidRPr="00741B91">
        <w:rPr>
          <w:rFonts w:hint="eastAsia"/>
        </w:rPr>
        <w:t>言論自由有實現自</w:t>
      </w:r>
      <w:r w:rsidRPr="00741B91">
        <w:rPr>
          <w:rFonts w:hint="eastAsia"/>
        </w:rPr>
        <w:lastRenderedPageBreak/>
        <w:t>我、溝通意見、追求真理、滿足人民知的權利，形成公意，促進各種合理的政治及社會活動之功能，乃維持民主多元社會正常發展不可或缺之機制，國家應給予最大限度之保障，此為司法院釋字第509號</w:t>
      </w:r>
      <w:r w:rsidR="0087441C">
        <w:rPr>
          <w:rFonts w:hint="eastAsia"/>
        </w:rPr>
        <w:t>解釋</w:t>
      </w:r>
      <w:r w:rsidRPr="00741B91">
        <w:rPr>
          <w:rFonts w:hint="eastAsia"/>
        </w:rPr>
        <w:t>理由書</w:t>
      </w:r>
      <w:proofErr w:type="gramStart"/>
      <w:r w:rsidRPr="00741B91">
        <w:rPr>
          <w:rFonts w:hint="eastAsia"/>
        </w:rPr>
        <w:t>所揭明</w:t>
      </w:r>
      <w:proofErr w:type="gramEnd"/>
      <w:r w:rsidRPr="00741B91">
        <w:rPr>
          <w:rFonts w:hint="eastAsia"/>
        </w:rPr>
        <w:t>，與言論自由同受保障之新聞自由，則為現代民主自由社會不可或缺之必要機制。</w:t>
      </w:r>
      <w:proofErr w:type="gramStart"/>
      <w:r w:rsidRPr="00741B91">
        <w:rPr>
          <w:rFonts w:hint="eastAsia"/>
        </w:rPr>
        <w:t>倘政風</w:t>
      </w:r>
      <w:proofErr w:type="gramEnd"/>
      <w:r w:rsidRPr="00741B91">
        <w:rPr>
          <w:rFonts w:hint="eastAsia"/>
        </w:rPr>
        <w:t>人員之行政調查對象及於非公務員之一般民眾甚至記者，恐將淪為有心人士用以箝制新聞言論之工具，大幅減低新聞自由所能發揮監督政府、凝聚民意之功能，人民將無從充分得知訊息、發表意見，政府公權力亦將因此不受監督，易形成公權力一</w:t>
      </w:r>
      <w:proofErr w:type="gramStart"/>
      <w:r w:rsidRPr="00741B91">
        <w:rPr>
          <w:rFonts w:hint="eastAsia"/>
        </w:rPr>
        <w:t>言化獨斷</w:t>
      </w:r>
      <w:proofErr w:type="gramEnd"/>
      <w:r w:rsidRPr="00741B91">
        <w:rPr>
          <w:rFonts w:hint="eastAsia"/>
        </w:rPr>
        <w:t>專擅現象，不僅嚴重牴觸憲法第11條對新聞自由之保障意旨，更與憲法所追求之民主自由精神相悖！</w:t>
      </w:r>
    </w:p>
    <w:p w:rsidR="00D13D37" w:rsidRDefault="00CF47AA" w:rsidP="00D13D37">
      <w:pPr>
        <w:ind w:leftChars="500" w:left="1701" w:firstLineChars="191" w:firstLine="650"/>
      </w:pPr>
      <w:r w:rsidRPr="00741B91">
        <w:rPr>
          <w:rFonts w:hint="eastAsia"/>
        </w:rPr>
        <w:t>綜上，政風機構為機關內部控制單位，政風人員不具司法警察(官)身分，且政風人員所行使之權限為行政調查權，為政風條例所明定並經法務部函復</w:t>
      </w:r>
      <w:proofErr w:type="gramStart"/>
      <w:r w:rsidRPr="00741B91">
        <w:rPr>
          <w:rFonts w:hint="eastAsia"/>
        </w:rPr>
        <w:t>在卷可按</w:t>
      </w:r>
      <w:proofErr w:type="gramEnd"/>
      <w:r w:rsidRPr="00741B91">
        <w:rPr>
          <w:rFonts w:hint="eastAsia"/>
        </w:rPr>
        <w:t>，調查範圍自以公務員與公務設備、物品為限，</w:t>
      </w:r>
      <w:proofErr w:type="gramStart"/>
      <w:r w:rsidRPr="00741B91">
        <w:rPr>
          <w:rFonts w:hint="eastAsia"/>
        </w:rPr>
        <w:t>不</w:t>
      </w:r>
      <w:proofErr w:type="gramEnd"/>
      <w:r w:rsidRPr="00741B91">
        <w:rPr>
          <w:rFonts w:hint="eastAsia"/>
        </w:rPr>
        <w:t>及於一般個人甚至記者，縱配置於司法或監察機關之政風機構與人員，與一般行政機關之政風人員，並無不同。政風機構與人員自應嚴守</w:t>
      </w:r>
      <w:r w:rsidR="00507A76">
        <w:rPr>
          <w:rFonts w:hint="eastAsia"/>
        </w:rPr>
        <w:t>法定分際</w:t>
      </w:r>
      <w:r w:rsidRPr="00741B91">
        <w:rPr>
          <w:rFonts w:hint="eastAsia"/>
        </w:rPr>
        <w:t>。</w:t>
      </w:r>
      <w:bookmarkStart w:id="43" w:name="_Toc524902730"/>
      <w:bookmarkEnd w:id="35"/>
      <w:bookmarkEnd w:id="36"/>
      <w:bookmarkEnd w:id="37"/>
      <w:bookmarkEnd w:id="38"/>
      <w:bookmarkEnd w:id="39"/>
      <w:bookmarkEnd w:id="40"/>
      <w:bookmarkEnd w:id="41"/>
      <w:bookmarkEnd w:id="42"/>
    </w:p>
    <w:p w:rsidR="00651685" w:rsidRDefault="00651685" w:rsidP="00651685">
      <w:pPr>
        <w:pStyle w:val="3"/>
        <w:numPr>
          <w:ilvl w:val="2"/>
          <w:numId w:val="1"/>
        </w:numPr>
      </w:pPr>
      <w:r w:rsidRPr="00651685">
        <w:rPr>
          <w:rFonts w:hint="eastAsia"/>
        </w:rPr>
        <w:t>綜上，配置於各機關內之政風機構與人員，</w:t>
      </w:r>
      <w:proofErr w:type="gramStart"/>
      <w:r w:rsidRPr="00651685">
        <w:rPr>
          <w:rFonts w:hint="eastAsia"/>
        </w:rPr>
        <w:t>依政風</w:t>
      </w:r>
      <w:proofErr w:type="gramEnd"/>
      <w:r w:rsidRPr="00651685">
        <w:rPr>
          <w:rFonts w:hint="eastAsia"/>
        </w:rPr>
        <w:t>條例第9條規定及機關首長之命，辦理反貪、防貪查處、公務機密、安全維護、財產申報、利益衝突迴避、民眾檢舉等業務，法制定位上屬機關內部控制單位，所行使權限為行政調查權，調查對象自以公務人員及公務設備、物品內部事務為限，</w:t>
      </w:r>
      <w:proofErr w:type="gramStart"/>
      <w:r w:rsidRPr="00651685">
        <w:rPr>
          <w:rFonts w:hint="eastAsia"/>
        </w:rPr>
        <w:t>不</w:t>
      </w:r>
      <w:proofErr w:type="gramEnd"/>
      <w:r w:rsidRPr="00651685">
        <w:rPr>
          <w:rFonts w:hint="eastAsia"/>
        </w:rPr>
        <w:t>及於一般民眾或其個人物品、場所，且行使行政調查須符合相關法律規定與原則，縱配置於司法或監察機關</w:t>
      </w:r>
      <w:r w:rsidRPr="00651685">
        <w:rPr>
          <w:rFonts w:hint="eastAsia"/>
        </w:rPr>
        <w:lastRenderedPageBreak/>
        <w:t>之政風機構與人員，亦無不同。在調查手段方面，</w:t>
      </w:r>
      <w:proofErr w:type="gramStart"/>
      <w:r w:rsidRPr="00651685">
        <w:rPr>
          <w:rFonts w:hint="eastAsia"/>
        </w:rPr>
        <w:t>測謊係對</w:t>
      </w:r>
      <w:proofErr w:type="gramEnd"/>
      <w:r w:rsidRPr="00651685">
        <w:rPr>
          <w:rFonts w:hint="eastAsia"/>
        </w:rPr>
        <w:t>人類心智活動的監測方法，</w:t>
      </w:r>
      <w:proofErr w:type="gramStart"/>
      <w:r w:rsidRPr="00651685">
        <w:rPr>
          <w:rFonts w:hint="eastAsia"/>
        </w:rPr>
        <w:t>受測人無從</w:t>
      </w:r>
      <w:proofErr w:type="gramEnd"/>
      <w:r w:rsidRPr="00651685">
        <w:rPr>
          <w:rFonts w:hint="eastAsia"/>
        </w:rPr>
        <w:t>保持緘默，嚴重侵害人格權與人性尊嚴，自不得作為行政調查之手段。部分政風人員未能清楚辨別政風職權本質屬於行政調查權，自不得超出行政權範疇，致使用包括測謊、調閱記者通聯等調查手段，逾越權限侵害人民權益之案例發生，引發社會質疑傷害新聞自由，核有違失。</w:t>
      </w:r>
    </w:p>
    <w:p w:rsidR="00651685" w:rsidRDefault="00651685">
      <w:pPr>
        <w:widowControl/>
        <w:overflowPunct/>
        <w:autoSpaceDE/>
        <w:autoSpaceDN/>
        <w:jc w:val="left"/>
        <w:rPr>
          <w:kern w:val="32"/>
        </w:rPr>
      </w:pPr>
    </w:p>
    <w:p w:rsidR="00286B1B" w:rsidRPr="00741B91" w:rsidRDefault="00C65AFF" w:rsidP="00D13D37">
      <w:pPr>
        <w:pStyle w:val="10"/>
        <w:ind w:left="680" w:firstLine="680"/>
      </w:pPr>
      <w:r w:rsidRPr="00741B91">
        <w:rPr>
          <w:rFonts w:hint="eastAsia"/>
        </w:rPr>
        <w:t>綜</w:t>
      </w:r>
      <w:proofErr w:type="gramStart"/>
      <w:r w:rsidRPr="00741B91">
        <w:rPr>
          <w:rFonts w:hint="eastAsia"/>
        </w:rPr>
        <w:t>上</w:t>
      </w:r>
      <w:r w:rsidR="00312BBC">
        <w:rPr>
          <w:rFonts w:hint="eastAsia"/>
        </w:rPr>
        <w:t>論結</w:t>
      </w:r>
      <w:proofErr w:type="gramEnd"/>
      <w:r w:rsidRPr="00741B91">
        <w:rPr>
          <w:rFonts w:hint="eastAsia"/>
        </w:rPr>
        <w:t>，</w:t>
      </w:r>
      <w:r w:rsidR="00741B91" w:rsidRPr="00741B91">
        <w:rPr>
          <w:rFonts w:hint="eastAsia"/>
        </w:rPr>
        <w:t>法務部未善盡監督職責，任令現行規範政風人員權限之相關法規內容未盡明確，逾越一般人所得預見與理解，核與法律明確性原則不符，致部分政風人員職權之行使未能認識職權行使過程及手段須合於比例原則及權力分立原則，超出行政權範疇，肇致逾越權限侵害人民權益之案例發生，引發社會質疑</w:t>
      </w:r>
      <w:r w:rsidR="00956BE1" w:rsidRPr="00956BE1">
        <w:rPr>
          <w:rFonts w:hint="eastAsia"/>
        </w:rPr>
        <w:t>，核有違失</w:t>
      </w:r>
      <w:r w:rsidR="00741B91" w:rsidRPr="00741B91">
        <w:rPr>
          <w:rFonts w:hint="eastAsia"/>
        </w:rPr>
        <w:t>，</w:t>
      </w:r>
      <w:proofErr w:type="gramStart"/>
      <w:r w:rsidR="000512D1" w:rsidRPr="00741B91">
        <w:rPr>
          <w:rFonts w:hint="eastAsia"/>
        </w:rPr>
        <w:t>爰</w:t>
      </w:r>
      <w:proofErr w:type="gramEnd"/>
      <w:r w:rsidR="000512D1" w:rsidRPr="00741B91">
        <w:rPr>
          <w:rFonts w:hint="eastAsia"/>
        </w:rPr>
        <w:t>依監察法第24條規定提案糾正，移送</w:t>
      </w:r>
      <w:r w:rsidRPr="00741B91">
        <w:rPr>
          <w:rFonts w:hint="eastAsia"/>
        </w:rPr>
        <w:t>法務部</w:t>
      </w:r>
      <w:r w:rsidR="000512D1" w:rsidRPr="00741B91">
        <w:rPr>
          <w:rFonts w:hint="eastAsia"/>
        </w:rPr>
        <w:t>確實檢討改善</w:t>
      </w:r>
      <w:proofErr w:type="gramStart"/>
      <w:r w:rsidR="000512D1" w:rsidRPr="00741B91">
        <w:rPr>
          <w:rFonts w:hint="eastAsia"/>
        </w:rPr>
        <w:t>見復</w:t>
      </w:r>
      <w:r w:rsidR="00286B1B" w:rsidRPr="00741B91">
        <w:rPr>
          <w:rFonts w:hint="eastAsia"/>
        </w:rPr>
        <w:t>。</w:t>
      </w:r>
      <w:bookmarkStart w:id="44" w:name="_GoBack"/>
      <w:bookmarkEnd w:id="43"/>
      <w:bookmarkEnd w:id="44"/>
      <w:proofErr w:type="gramEnd"/>
    </w:p>
    <w:sectPr w:rsidR="00286B1B" w:rsidRPr="00741B9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B0" w:rsidRDefault="00BC76B0">
      <w:r>
        <w:separator/>
      </w:r>
    </w:p>
  </w:endnote>
  <w:endnote w:type="continuationSeparator" w:id="0">
    <w:p w:rsidR="00BC76B0" w:rsidRDefault="00BC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01CAD">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B0" w:rsidRDefault="00BC76B0">
      <w:r>
        <w:separator/>
      </w:r>
    </w:p>
  </w:footnote>
  <w:footnote w:type="continuationSeparator" w:id="0">
    <w:p w:rsidR="00BC76B0" w:rsidRDefault="00BC76B0">
      <w:r>
        <w:continuationSeparator/>
      </w:r>
    </w:p>
  </w:footnote>
  <w:footnote w:id="1">
    <w:p w:rsidR="00CF47AA" w:rsidRPr="008E79C1" w:rsidRDefault="00CF47AA" w:rsidP="00FF518F">
      <w:pPr>
        <w:pStyle w:val="afa"/>
        <w:ind w:left="154" w:right="55" w:hanging="154"/>
        <w:jc w:val="both"/>
      </w:pPr>
      <w:r>
        <w:rPr>
          <w:rStyle w:val="afc"/>
        </w:rPr>
        <w:footnoteRef/>
      </w:r>
      <w:r>
        <w:rPr>
          <w:rFonts w:hint="eastAsia"/>
        </w:rPr>
        <w:t xml:space="preserve"> 刑事訴訟法第163條第2項規定：「</w:t>
      </w:r>
      <w:r w:rsidRPr="008E79C1">
        <w:rPr>
          <w:rFonts w:hint="eastAsia"/>
        </w:rPr>
        <w:t>法院</w:t>
      </w:r>
      <w:proofErr w:type="gramStart"/>
      <w:r w:rsidRPr="008E79C1">
        <w:rPr>
          <w:rFonts w:hint="eastAsia"/>
        </w:rPr>
        <w:t>為發見真實</w:t>
      </w:r>
      <w:proofErr w:type="gramEnd"/>
      <w:r w:rsidRPr="008E79C1">
        <w:rPr>
          <w:rFonts w:hint="eastAsia"/>
        </w:rPr>
        <w:t>，得依職權調查證據。但於公平正義之維護或對被告之利益有重大關係事項，法院應依職權調查之。</w:t>
      </w:r>
      <w:r>
        <w:rPr>
          <w:rFonts w:hint="eastAsia"/>
        </w:rPr>
        <w:t>」</w:t>
      </w:r>
    </w:p>
  </w:footnote>
  <w:footnote w:id="2">
    <w:p w:rsidR="00CF47AA" w:rsidRPr="00927CD7" w:rsidRDefault="00CF47AA" w:rsidP="00FF518F">
      <w:pPr>
        <w:pStyle w:val="afa"/>
        <w:ind w:left="154" w:right="55" w:hanging="154"/>
        <w:jc w:val="both"/>
      </w:pPr>
      <w:r>
        <w:rPr>
          <w:rStyle w:val="afc"/>
        </w:rPr>
        <w:footnoteRef/>
      </w:r>
      <w:r>
        <w:rPr>
          <w:rFonts w:hint="eastAsia"/>
        </w:rPr>
        <w:t xml:space="preserve"> </w:t>
      </w:r>
      <w:r>
        <w:rPr>
          <w:rFonts w:hint="eastAsia"/>
        </w:rPr>
        <w:t>監察法第26條第1項規定：「</w:t>
      </w:r>
      <w:r w:rsidRPr="00BA7304">
        <w:rPr>
          <w:rFonts w:hint="eastAsia"/>
        </w:rPr>
        <w:t>監察院為行使監察職權，得由監察委員持監察證或派員持調查證，赴各機關部隊公私團體調查</w:t>
      </w:r>
      <w:proofErr w:type="gramStart"/>
      <w:r w:rsidRPr="00BA7304">
        <w:rPr>
          <w:rFonts w:hint="eastAsia"/>
        </w:rPr>
        <w:t>檔案冊籍及</w:t>
      </w:r>
      <w:proofErr w:type="gramEnd"/>
      <w:r w:rsidRPr="00BA7304">
        <w:rPr>
          <w:rFonts w:hint="eastAsia"/>
        </w:rPr>
        <w:t>其他有關文件，各該機關部隊或團體主管人員及其他關係人員不得拒絕，遇有詢問時，應就詢問地點負責為詳實之答復，作成筆錄，由受</w:t>
      </w:r>
      <w:proofErr w:type="gramStart"/>
      <w:r w:rsidRPr="00BA7304">
        <w:rPr>
          <w:rFonts w:hint="eastAsia"/>
        </w:rPr>
        <w:t>詢</w:t>
      </w:r>
      <w:proofErr w:type="gramEnd"/>
      <w:r w:rsidRPr="00BA7304">
        <w:rPr>
          <w:rFonts w:hint="eastAsia"/>
        </w:rPr>
        <w:t>人署名簽押</w:t>
      </w:r>
      <w:r>
        <w:rPr>
          <w:rFonts w:hint="eastAsia"/>
        </w:rPr>
        <w:t>。」</w:t>
      </w:r>
    </w:p>
  </w:footnote>
  <w:footnote w:id="3">
    <w:p w:rsidR="00CF47AA" w:rsidRPr="008E79C1" w:rsidRDefault="00CF47AA" w:rsidP="00FF518F">
      <w:pPr>
        <w:pStyle w:val="afa"/>
        <w:ind w:left="154" w:right="55" w:hanging="154"/>
        <w:jc w:val="both"/>
      </w:pPr>
      <w:r>
        <w:rPr>
          <w:rStyle w:val="afc"/>
        </w:rPr>
        <w:footnoteRef/>
      </w:r>
      <w:r>
        <w:rPr>
          <w:rFonts w:hint="eastAsia"/>
        </w:rPr>
        <w:t xml:space="preserve"> 立法院職權行使法第47</w:t>
      </w:r>
      <w:r>
        <w:rPr>
          <w:rFonts w:hint="eastAsia"/>
        </w:rPr>
        <w:t>條第1項規定：「</w:t>
      </w:r>
      <w:r w:rsidRPr="008E79C1">
        <w:rPr>
          <w:rFonts w:hint="eastAsia"/>
        </w:rPr>
        <w:t>受要求調閱文件之機關，除依法律或其他正當理由得拒絕外，應於</w:t>
      </w:r>
      <w:r>
        <w:rPr>
          <w:rFonts w:hint="eastAsia"/>
        </w:rPr>
        <w:t>5</w:t>
      </w:r>
      <w:r w:rsidRPr="008E79C1">
        <w:rPr>
          <w:rFonts w:hint="eastAsia"/>
        </w:rPr>
        <w:t>日內提供之。</w:t>
      </w:r>
      <w:r>
        <w:rPr>
          <w:rFonts w:hint="eastAsia"/>
        </w:rPr>
        <w:t>」</w:t>
      </w:r>
    </w:p>
  </w:footnote>
  <w:footnote w:id="4">
    <w:p w:rsidR="00CF47AA" w:rsidRPr="00EB6336" w:rsidRDefault="00CF47AA" w:rsidP="00026E03">
      <w:pPr>
        <w:pStyle w:val="afa"/>
        <w:tabs>
          <w:tab w:val="left" w:pos="8789"/>
        </w:tabs>
        <w:ind w:left="142" w:right="55" w:hanging="142"/>
        <w:jc w:val="both"/>
      </w:pPr>
      <w:r>
        <w:rPr>
          <w:rStyle w:val="afc"/>
        </w:rPr>
        <w:footnoteRef/>
      </w:r>
      <w:r w:rsidRPr="003E337F">
        <w:rPr>
          <w:rFonts w:hint="eastAsia"/>
        </w:rPr>
        <w:t>公約人權事務委員會第90屆會議（2007年）第32號一般性意見</w:t>
      </w:r>
      <w:r>
        <w:rPr>
          <w:rFonts w:hint="eastAsia"/>
        </w:rPr>
        <w:t>第41點：「</w:t>
      </w:r>
      <w:r w:rsidRPr="003E337F">
        <w:rPr>
          <w:rFonts w:hAnsi="標楷體" w:hint="eastAsia"/>
          <w:color w:val="000000"/>
        </w:rPr>
        <w:t>第14條第3項第7款保障有權不被強迫自供或認罪。必須從沒有來自刑事偵查機關為獲得認罪而對被告做任何直接或間接的身體上壓迫或不當精神壓力的角度來理解這項保障</w:t>
      </w:r>
      <w:r>
        <w:rPr>
          <w:rFonts w:hAnsi="標楷體" w:hint="eastAsia"/>
          <w:color w:val="000000"/>
        </w:rPr>
        <w:t>。」</w:t>
      </w:r>
    </w:p>
  </w:footnote>
  <w:footnote w:id="5">
    <w:p w:rsidR="00CF47AA" w:rsidRPr="00FF6885" w:rsidRDefault="00CF47AA" w:rsidP="00026E03">
      <w:pPr>
        <w:pStyle w:val="afa"/>
        <w:tabs>
          <w:tab w:val="left" w:pos="8080"/>
        </w:tabs>
        <w:ind w:left="168" w:right="55" w:hanging="168"/>
        <w:jc w:val="both"/>
      </w:pPr>
      <w:r>
        <w:rPr>
          <w:rStyle w:val="afc"/>
        </w:rPr>
        <w:footnoteRef/>
      </w:r>
      <w:r>
        <w:rPr>
          <w:rFonts w:hint="eastAsia"/>
        </w:rPr>
        <w:t xml:space="preserve"> </w:t>
      </w:r>
      <w:r w:rsidR="008C1E28">
        <w:rPr>
          <w:rFonts w:hint="eastAsia"/>
        </w:rPr>
        <w:t>法</w:t>
      </w:r>
      <w:r>
        <w:rPr>
          <w:rFonts w:hint="eastAsia"/>
        </w:rPr>
        <w:t>治</w:t>
      </w:r>
      <w:proofErr w:type="gramStart"/>
      <w:r>
        <w:rPr>
          <w:rFonts w:hint="eastAsia"/>
        </w:rPr>
        <w:t>斌</w:t>
      </w:r>
      <w:proofErr w:type="gramEnd"/>
      <w:r>
        <w:rPr>
          <w:rFonts w:hint="eastAsia"/>
        </w:rPr>
        <w:t>教授</w:t>
      </w:r>
      <w:r w:rsidRPr="00301D25">
        <w:rPr>
          <w:rFonts w:hint="eastAsia"/>
        </w:rPr>
        <w:t>主持，</w:t>
      </w:r>
      <w:r>
        <w:rPr>
          <w:rFonts w:hint="eastAsia"/>
        </w:rPr>
        <w:t>《</w:t>
      </w:r>
      <w:r w:rsidRPr="00301D25">
        <w:rPr>
          <w:rFonts w:hint="eastAsia"/>
        </w:rPr>
        <w:t>行政檢查之研究</w:t>
      </w:r>
      <w:r>
        <w:rPr>
          <w:rFonts w:hint="eastAsia"/>
        </w:rPr>
        <w:t>》</w:t>
      </w:r>
      <w:r w:rsidRPr="00301D25">
        <w:rPr>
          <w:rFonts w:hint="eastAsia"/>
        </w:rPr>
        <w:t>，行政院</w:t>
      </w:r>
      <w:r>
        <w:rPr>
          <w:rFonts w:hint="eastAsia"/>
        </w:rPr>
        <w:t>研究發展考核委員會</w:t>
      </w:r>
      <w:r w:rsidRPr="00301D25">
        <w:rPr>
          <w:rFonts w:hint="eastAsia"/>
        </w:rPr>
        <w:t>，85年</w:t>
      </w:r>
      <w:r>
        <w:rPr>
          <w:rFonts w:hint="eastAsia"/>
        </w:rPr>
        <w:t>，14-40頁；許宏吉，&lt;行政調查應有之內涵與趨向&gt;，《法令月刊》，第57卷第</w:t>
      </w:r>
      <w:r w:rsidR="0087441C">
        <w:rPr>
          <w:rFonts w:hint="eastAsia"/>
        </w:rPr>
        <w:t>8</w:t>
      </w:r>
      <w:r>
        <w:rPr>
          <w:rFonts w:hint="eastAsia"/>
        </w:rPr>
        <w:t>期，95年8月，18-23頁</w:t>
      </w:r>
      <w:r w:rsidR="008C1E28">
        <w:rPr>
          <w:rFonts w:hint="eastAsia"/>
        </w:rPr>
        <w:t>。</w:t>
      </w:r>
    </w:p>
  </w:footnote>
  <w:footnote w:id="6">
    <w:p w:rsidR="00CF47AA" w:rsidRPr="00FF6885" w:rsidRDefault="00CF47AA" w:rsidP="00026E03">
      <w:pPr>
        <w:pStyle w:val="afa"/>
        <w:tabs>
          <w:tab w:val="left" w:pos="8080"/>
        </w:tabs>
        <w:ind w:left="168" w:right="55" w:hanging="168"/>
        <w:jc w:val="both"/>
      </w:pPr>
      <w:r>
        <w:rPr>
          <w:rStyle w:val="afc"/>
        </w:rPr>
        <w:footnoteRef/>
      </w:r>
      <w:r>
        <w:rPr>
          <w:rFonts w:hint="eastAsia"/>
        </w:rPr>
        <w:t xml:space="preserve"> </w:t>
      </w:r>
      <w:r>
        <w:rPr>
          <w:rFonts w:hint="eastAsia"/>
        </w:rPr>
        <w:t>洪</w:t>
      </w:r>
      <w:proofErr w:type="gramStart"/>
      <w:r>
        <w:rPr>
          <w:rFonts w:hint="eastAsia"/>
        </w:rPr>
        <w:t>家殷，</w:t>
      </w:r>
      <w:proofErr w:type="gramEnd"/>
      <w:r>
        <w:rPr>
          <w:rFonts w:hint="eastAsia"/>
        </w:rPr>
        <w:t>&lt;</w:t>
      </w:r>
      <w:r w:rsidRPr="00D3338D">
        <w:rPr>
          <w:rFonts w:hint="eastAsia"/>
        </w:rPr>
        <w:t>行政調查</w:t>
      </w:r>
      <w:r>
        <w:rPr>
          <w:rFonts w:hint="eastAsia"/>
        </w:rPr>
        <w:t>與刑事偵查之界限&gt;，《東吳法律學報》，第25卷第1期，102年7月，4-43頁。</w:t>
      </w:r>
    </w:p>
  </w:footnote>
  <w:footnote w:id="7">
    <w:p w:rsidR="00CF47AA" w:rsidRPr="00FF7842" w:rsidRDefault="00CF47AA" w:rsidP="009D277B">
      <w:pPr>
        <w:pStyle w:val="afa"/>
        <w:ind w:left="142" w:right="55" w:hanging="142"/>
        <w:jc w:val="both"/>
      </w:pPr>
      <w:r>
        <w:rPr>
          <w:rStyle w:val="afc"/>
        </w:rPr>
        <w:footnoteRef/>
      </w:r>
      <w:r>
        <w:rPr>
          <w:rFonts w:hint="eastAsia"/>
        </w:rPr>
        <w:t xml:space="preserve"> 行政機關若對一般民眾或其所有場所進行調(</w:t>
      </w:r>
      <w:r>
        <w:rPr>
          <w:rFonts w:hint="eastAsia"/>
        </w:rPr>
        <w:t>檢)查，</w:t>
      </w:r>
      <w:proofErr w:type="gramStart"/>
      <w:r>
        <w:rPr>
          <w:rFonts w:hint="eastAsia"/>
        </w:rPr>
        <w:t>均有法律</w:t>
      </w:r>
      <w:proofErr w:type="gramEnd"/>
      <w:r>
        <w:rPr>
          <w:rFonts w:hint="eastAsia"/>
        </w:rPr>
        <w:t>明文規定。</w:t>
      </w:r>
      <w:proofErr w:type="gramStart"/>
      <w:r>
        <w:rPr>
          <w:rFonts w:hint="eastAsia"/>
        </w:rPr>
        <w:t>如</w:t>
      </w:r>
      <w:r w:rsidRPr="007E71F0">
        <w:rPr>
          <w:rFonts w:hint="eastAsia"/>
        </w:rPr>
        <w:t>藥事</w:t>
      </w:r>
      <w:proofErr w:type="gramEnd"/>
      <w:r w:rsidRPr="007E71F0">
        <w:rPr>
          <w:rFonts w:hint="eastAsia"/>
        </w:rPr>
        <w:t>法第72條規定：「衛生主管機關得派員檢查醫療機構或藥局之有關業務，並得出具單據抽驗其藥物，受檢者不得無故拒絕。但抽驗數量以足供檢驗之用者為限。」化</w:t>
      </w:r>
      <w:proofErr w:type="gramStart"/>
      <w:r w:rsidRPr="007E71F0">
        <w:rPr>
          <w:rFonts w:hint="eastAsia"/>
        </w:rPr>
        <w:t>粧</w:t>
      </w:r>
      <w:proofErr w:type="gramEnd"/>
      <w:r w:rsidRPr="007E71F0">
        <w:rPr>
          <w:rFonts w:hint="eastAsia"/>
        </w:rPr>
        <w:t>品衛生管理條例第26條規定：「直轄市或縣 (市) 衛生及工業主管機關，應派員持憑證明文件，赴各化</w:t>
      </w:r>
      <w:proofErr w:type="gramStart"/>
      <w:r w:rsidRPr="007E71F0">
        <w:rPr>
          <w:rFonts w:hint="eastAsia"/>
        </w:rPr>
        <w:t>粧</w:t>
      </w:r>
      <w:proofErr w:type="gramEnd"/>
      <w:r w:rsidRPr="007E71F0">
        <w:rPr>
          <w:rFonts w:hint="eastAsia"/>
        </w:rPr>
        <w:t>品及化</w:t>
      </w:r>
      <w:proofErr w:type="gramStart"/>
      <w:r w:rsidRPr="007E71F0">
        <w:rPr>
          <w:rFonts w:hint="eastAsia"/>
        </w:rPr>
        <w:t>粧</w:t>
      </w:r>
      <w:proofErr w:type="gramEnd"/>
      <w:r w:rsidRPr="007E71F0">
        <w:rPr>
          <w:rFonts w:hint="eastAsia"/>
        </w:rPr>
        <w:t>品色素製造、加工之場所、倉庫、販賣處所，實地檢查其設備、裝置、製造程序、環境衛生及其成品、半成品、原料、配料、包裝、容器、標籤、仿單等，廠商不得無故拒絕。」</w:t>
      </w:r>
    </w:p>
  </w:footnote>
  <w:footnote w:id="8">
    <w:p w:rsidR="00CF47AA" w:rsidRPr="002D6343" w:rsidRDefault="00CF47AA" w:rsidP="002713FE">
      <w:pPr>
        <w:pStyle w:val="afa"/>
        <w:ind w:left="142" w:right="680" w:hanging="142"/>
      </w:pPr>
      <w:r>
        <w:rPr>
          <w:rStyle w:val="afc"/>
        </w:rPr>
        <w:footnoteRef/>
      </w:r>
      <w:r>
        <w:rPr>
          <w:rFonts w:hint="eastAsia"/>
        </w:rPr>
        <w:t xml:space="preserve"> 見本院全球資訊網，</w:t>
      </w:r>
      <w:r w:rsidRPr="002D6343">
        <w:t>http://www.cy.gov.tw/sp.asp?xdUrl=./CyBsBox/CyBsR1.asp&amp;mp=1&amp;ctNode=910</w:t>
      </w:r>
    </w:p>
  </w:footnote>
  <w:footnote w:id="9">
    <w:p w:rsidR="00CF47AA" w:rsidRDefault="00CF47AA" w:rsidP="009D277B">
      <w:pPr>
        <w:pStyle w:val="afa"/>
        <w:tabs>
          <w:tab w:val="left" w:pos="8222"/>
        </w:tabs>
        <w:ind w:left="224" w:right="55" w:hanging="224"/>
        <w:jc w:val="both"/>
      </w:pPr>
      <w:r>
        <w:rPr>
          <w:rStyle w:val="afc"/>
        </w:rPr>
        <w:footnoteRef/>
      </w:r>
      <w:r>
        <w:rPr>
          <w:rFonts w:hint="eastAsia"/>
        </w:rPr>
        <w:t xml:space="preserve"> </w:t>
      </w:r>
      <w:r>
        <w:rPr>
          <w:rFonts w:hint="eastAsia"/>
        </w:rPr>
        <w:t>許宏吉，&lt;行政調查應有之內涵與趨向&gt;，《法令月刊》，第57卷第</w:t>
      </w:r>
      <w:r w:rsidR="00AB10B7">
        <w:rPr>
          <w:rFonts w:hint="eastAsia"/>
        </w:rPr>
        <w:t>8</w:t>
      </w:r>
      <w:r>
        <w:rPr>
          <w:rFonts w:hint="eastAsia"/>
        </w:rPr>
        <w:t>期，95年8月，22頁。</w:t>
      </w:r>
    </w:p>
  </w:footnote>
  <w:footnote w:id="10">
    <w:p w:rsidR="00CF47AA" w:rsidRPr="002C3F73" w:rsidRDefault="00CF47AA" w:rsidP="009D277B">
      <w:pPr>
        <w:pStyle w:val="afa"/>
        <w:tabs>
          <w:tab w:val="left" w:pos="8222"/>
        </w:tabs>
        <w:ind w:left="224" w:right="55" w:hanging="224"/>
        <w:jc w:val="both"/>
      </w:pPr>
      <w:r>
        <w:rPr>
          <w:rStyle w:val="afc"/>
        </w:rPr>
        <w:footnoteRef/>
      </w:r>
      <w:r>
        <w:rPr>
          <w:rFonts w:hint="eastAsia"/>
        </w:rPr>
        <w:t xml:space="preserve"> 洪</w:t>
      </w:r>
      <w:r w:rsidRPr="002C3F73">
        <w:rPr>
          <w:rFonts w:hint="eastAsia"/>
        </w:rPr>
        <w:t>文玲，行政調查制度-</w:t>
      </w:r>
      <w:r w:rsidRPr="002C3F73">
        <w:rPr>
          <w:rFonts w:hint="eastAsia"/>
        </w:rPr>
        <w:t>以警察、工商管理、水土保護領域為例，當事人協力義務/行政調查/國家賠償，臺灣行政法學會出版，95年，</w:t>
      </w:r>
      <w:r>
        <w:rPr>
          <w:rFonts w:hint="eastAsia"/>
        </w:rPr>
        <w:t>264</w:t>
      </w:r>
      <w:r w:rsidRPr="002C3F73">
        <w:rPr>
          <w:rFonts w:hint="eastAsia"/>
        </w:rPr>
        <w:t>頁</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98C8EB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E03"/>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4E8E"/>
    <w:rsid w:val="00112637"/>
    <w:rsid w:val="00112B06"/>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195B"/>
    <w:rsid w:val="0022425C"/>
    <w:rsid w:val="002246DE"/>
    <w:rsid w:val="002421B5"/>
    <w:rsid w:val="0025106C"/>
    <w:rsid w:val="00252BC4"/>
    <w:rsid w:val="00254014"/>
    <w:rsid w:val="0026504D"/>
    <w:rsid w:val="002713FE"/>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2BBC"/>
    <w:rsid w:val="00317053"/>
    <w:rsid w:val="0032109C"/>
    <w:rsid w:val="00322B45"/>
    <w:rsid w:val="00323769"/>
    <w:rsid w:val="00323809"/>
    <w:rsid w:val="00323D41"/>
    <w:rsid w:val="00325414"/>
    <w:rsid w:val="003302F1"/>
    <w:rsid w:val="003312D2"/>
    <w:rsid w:val="00336E5B"/>
    <w:rsid w:val="0034470E"/>
    <w:rsid w:val="00345923"/>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0F40"/>
    <w:rsid w:val="003E4B57"/>
    <w:rsid w:val="003F27E1"/>
    <w:rsid w:val="003F437A"/>
    <w:rsid w:val="003F5C2B"/>
    <w:rsid w:val="004023E9"/>
    <w:rsid w:val="00413F83"/>
    <w:rsid w:val="0041490C"/>
    <w:rsid w:val="00416191"/>
    <w:rsid w:val="00416721"/>
    <w:rsid w:val="00421EF0"/>
    <w:rsid w:val="004224FA"/>
    <w:rsid w:val="00423D07"/>
    <w:rsid w:val="004255DB"/>
    <w:rsid w:val="0043720D"/>
    <w:rsid w:val="0044346F"/>
    <w:rsid w:val="0046520A"/>
    <w:rsid w:val="004672AB"/>
    <w:rsid w:val="004714FE"/>
    <w:rsid w:val="00484BDA"/>
    <w:rsid w:val="00485CDE"/>
    <w:rsid w:val="00495053"/>
    <w:rsid w:val="004A1F59"/>
    <w:rsid w:val="004A29BE"/>
    <w:rsid w:val="004A3225"/>
    <w:rsid w:val="004A33EE"/>
    <w:rsid w:val="004A3AA8"/>
    <w:rsid w:val="004B13C7"/>
    <w:rsid w:val="004B778F"/>
    <w:rsid w:val="004C026B"/>
    <w:rsid w:val="004C3988"/>
    <w:rsid w:val="004C5DD4"/>
    <w:rsid w:val="004D141F"/>
    <w:rsid w:val="004D6310"/>
    <w:rsid w:val="004E0062"/>
    <w:rsid w:val="004E05A1"/>
    <w:rsid w:val="004F5E57"/>
    <w:rsid w:val="004F6710"/>
    <w:rsid w:val="00501E1D"/>
    <w:rsid w:val="00502849"/>
    <w:rsid w:val="00504334"/>
    <w:rsid w:val="00507A76"/>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17D4"/>
    <w:rsid w:val="006470EC"/>
    <w:rsid w:val="00651685"/>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1B91"/>
    <w:rsid w:val="007453E6"/>
    <w:rsid w:val="0075243E"/>
    <w:rsid w:val="007666F5"/>
    <w:rsid w:val="0077309D"/>
    <w:rsid w:val="007774EE"/>
    <w:rsid w:val="00781822"/>
    <w:rsid w:val="00783F21"/>
    <w:rsid w:val="00786ACA"/>
    <w:rsid w:val="00787159"/>
    <w:rsid w:val="00791668"/>
    <w:rsid w:val="00791AA1"/>
    <w:rsid w:val="00794E77"/>
    <w:rsid w:val="007A3793"/>
    <w:rsid w:val="007C1BA2"/>
    <w:rsid w:val="007D20E9"/>
    <w:rsid w:val="007D2F00"/>
    <w:rsid w:val="007D7881"/>
    <w:rsid w:val="007D7E3A"/>
    <w:rsid w:val="007E0E10"/>
    <w:rsid w:val="007E4768"/>
    <w:rsid w:val="007E4AC5"/>
    <w:rsid w:val="007E5BDD"/>
    <w:rsid w:val="007E777B"/>
    <w:rsid w:val="007F2070"/>
    <w:rsid w:val="00801CAD"/>
    <w:rsid w:val="008053F5"/>
    <w:rsid w:val="00810198"/>
    <w:rsid w:val="00815DA8"/>
    <w:rsid w:val="008207AB"/>
    <w:rsid w:val="0082194D"/>
    <w:rsid w:val="00826EF5"/>
    <w:rsid w:val="00831693"/>
    <w:rsid w:val="00840104"/>
    <w:rsid w:val="00841FC5"/>
    <w:rsid w:val="00845709"/>
    <w:rsid w:val="008576BD"/>
    <w:rsid w:val="00860463"/>
    <w:rsid w:val="008733DA"/>
    <w:rsid w:val="0087441C"/>
    <w:rsid w:val="008850E4"/>
    <w:rsid w:val="0089074E"/>
    <w:rsid w:val="008A12F5"/>
    <w:rsid w:val="008A288A"/>
    <w:rsid w:val="008B1587"/>
    <w:rsid w:val="008B1B01"/>
    <w:rsid w:val="008B3BCD"/>
    <w:rsid w:val="008B4841"/>
    <w:rsid w:val="008B6DF8"/>
    <w:rsid w:val="008C106C"/>
    <w:rsid w:val="008C10F1"/>
    <w:rsid w:val="008C1E28"/>
    <w:rsid w:val="008C1E99"/>
    <w:rsid w:val="008E0085"/>
    <w:rsid w:val="008E2AA6"/>
    <w:rsid w:val="008E311B"/>
    <w:rsid w:val="008F46E7"/>
    <w:rsid w:val="008F6F0B"/>
    <w:rsid w:val="00907BA7"/>
    <w:rsid w:val="0091064E"/>
    <w:rsid w:val="00911FC5"/>
    <w:rsid w:val="00931A10"/>
    <w:rsid w:val="00947967"/>
    <w:rsid w:val="00956BE1"/>
    <w:rsid w:val="00965200"/>
    <w:rsid w:val="009668B3"/>
    <w:rsid w:val="00971471"/>
    <w:rsid w:val="009849C2"/>
    <w:rsid w:val="00984D24"/>
    <w:rsid w:val="009858EB"/>
    <w:rsid w:val="009B0046"/>
    <w:rsid w:val="009C1440"/>
    <w:rsid w:val="009C2107"/>
    <w:rsid w:val="009C5D9E"/>
    <w:rsid w:val="009C6EBE"/>
    <w:rsid w:val="009D277B"/>
    <w:rsid w:val="009D2C3E"/>
    <w:rsid w:val="009E0625"/>
    <w:rsid w:val="009E3034"/>
    <w:rsid w:val="009E549F"/>
    <w:rsid w:val="009F28A8"/>
    <w:rsid w:val="009F473E"/>
    <w:rsid w:val="009F682A"/>
    <w:rsid w:val="00A022BE"/>
    <w:rsid w:val="00A231D3"/>
    <w:rsid w:val="00A24C95"/>
    <w:rsid w:val="00A25876"/>
    <w:rsid w:val="00A26094"/>
    <w:rsid w:val="00A301BF"/>
    <w:rsid w:val="00A302B2"/>
    <w:rsid w:val="00A331B4"/>
    <w:rsid w:val="00A3484E"/>
    <w:rsid w:val="00A352DC"/>
    <w:rsid w:val="00A36ADA"/>
    <w:rsid w:val="00A438D8"/>
    <w:rsid w:val="00A473F5"/>
    <w:rsid w:val="00A51F9D"/>
    <w:rsid w:val="00A5416A"/>
    <w:rsid w:val="00A639F4"/>
    <w:rsid w:val="00A81A32"/>
    <w:rsid w:val="00A835BD"/>
    <w:rsid w:val="00A97B15"/>
    <w:rsid w:val="00AA42D5"/>
    <w:rsid w:val="00AB10B7"/>
    <w:rsid w:val="00AB2FAB"/>
    <w:rsid w:val="00AB5C14"/>
    <w:rsid w:val="00AB77BB"/>
    <w:rsid w:val="00AC1EE7"/>
    <w:rsid w:val="00AC333F"/>
    <w:rsid w:val="00AC585C"/>
    <w:rsid w:val="00AD1925"/>
    <w:rsid w:val="00AE067D"/>
    <w:rsid w:val="00AE1257"/>
    <w:rsid w:val="00AF1181"/>
    <w:rsid w:val="00AF2F79"/>
    <w:rsid w:val="00AF32BA"/>
    <w:rsid w:val="00AF4653"/>
    <w:rsid w:val="00AF7DB7"/>
    <w:rsid w:val="00B311FB"/>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C76B0"/>
    <w:rsid w:val="00BD7D5D"/>
    <w:rsid w:val="00BF2A42"/>
    <w:rsid w:val="00C03D8C"/>
    <w:rsid w:val="00C055EC"/>
    <w:rsid w:val="00C10DC9"/>
    <w:rsid w:val="00C12FB3"/>
    <w:rsid w:val="00C17251"/>
    <w:rsid w:val="00C17341"/>
    <w:rsid w:val="00C24EEF"/>
    <w:rsid w:val="00C25CF6"/>
    <w:rsid w:val="00C26C36"/>
    <w:rsid w:val="00C32768"/>
    <w:rsid w:val="00C3421F"/>
    <w:rsid w:val="00C431DF"/>
    <w:rsid w:val="00C456BD"/>
    <w:rsid w:val="00C530DC"/>
    <w:rsid w:val="00C5350D"/>
    <w:rsid w:val="00C6123C"/>
    <w:rsid w:val="00C65AFF"/>
    <w:rsid w:val="00C7084D"/>
    <w:rsid w:val="00C7315E"/>
    <w:rsid w:val="00C75895"/>
    <w:rsid w:val="00C803CA"/>
    <w:rsid w:val="00C83C9F"/>
    <w:rsid w:val="00C86866"/>
    <w:rsid w:val="00C94840"/>
    <w:rsid w:val="00CA6AC8"/>
    <w:rsid w:val="00CB027F"/>
    <w:rsid w:val="00CC6297"/>
    <w:rsid w:val="00CC7690"/>
    <w:rsid w:val="00CD1986"/>
    <w:rsid w:val="00CE4D5C"/>
    <w:rsid w:val="00CF05DA"/>
    <w:rsid w:val="00CF47AA"/>
    <w:rsid w:val="00CF58EB"/>
    <w:rsid w:val="00D0106E"/>
    <w:rsid w:val="00D06383"/>
    <w:rsid w:val="00D13D37"/>
    <w:rsid w:val="00D20E85"/>
    <w:rsid w:val="00D24615"/>
    <w:rsid w:val="00D266FD"/>
    <w:rsid w:val="00D27557"/>
    <w:rsid w:val="00D37842"/>
    <w:rsid w:val="00D42DC2"/>
    <w:rsid w:val="00D537E1"/>
    <w:rsid w:val="00D55BB2"/>
    <w:rsid w:val="00D6091A"/>
    <w:rsid w:val="00D6695F"/>
    <w:rsid w:val="00D75644"/>
    <w:rsid w:val="00D81656"/>
    <w:rsid w:val="00D83D87"/>
    <w:rsid w:val="00D86A30"/>
    <w:rsid w:val="00D97CB4"/>
    <w:rsid w:val="00D97DD4"/>
    <w:rsid w:val="00DA0750"/>
    <w:rsid w:val="00DA5335"/>
    <w:rsid w:val="00DA5A8A"/>
    <w:rsid w:val="00DB26CD"/>
    <w:rsid w:val="00DB3135"/>
    <w:rsid w:val="00DB441C"/>
    <w:rsid w:val="00DB44AF"/>
    <w:rsid w:val="00DC1F58"/>
    <w:rsid w:val="00DC339B"/>
    <w:rsid w:val="00DC5D40"/>
    <w:rsid w:val="00DD30E9"/>
    <w:rsid w:val="00DD4F47"/>
    <w:rsid w:val="00DD631A"/>
    <w:rsid w:val="00DD7FBB"/>
    <w:rsid w:val="00DE0B9F"/>
    <w:rsid w:val="00DE4238"/>
    <w:rsid w:val="00DE42B9"/>
    <w:rsid w:val="00DE657F"/>
    <w:rsid w:val="00DF1218"/>
    <w:rsid w:val="00DF6462"/>
    <w:rsid w:val="00E02FA0"/>
    <w:rsid w:val="00E036DC"/>
    <w:rsid w:val="00E10454"/>
    <w:rsid w:val="00E112E5"/>
    <w:rsid w:val="00E120E2"/>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31C2"/>
    <w:rsid w:val="00ED03AB"/>
    <w:rsid w:val="00ED0CAC"/>
    <w:rsid w:val="00ED1CD4"/>
    <w:rsid w:val="00ED1D2B"/>
    <w:rsid w:val="00ED5A8D"/>
    <w:rsid w:val="00ED64B5"/>
    <w:rsid w:val="00EE7CCA"/>
    <w:rsid w:val="00EF0DF2"/>
    <w:rsid w:val="00F16A14"/>
    <w:rsid w:val="00F231DC"/>
    <w:rsid w:val="00F362D7"/>
    <w:rsid w:val="00F37D7B"/>
    <w:rsid w:val="00F5314C"/>
    <w:rsid w:val="00F5410F"/>
    <w:rsid w:val="00F635DD"/>
    <w:rsid w:val="00F6627B"/>
    <w:rsid w:val="00F734F2"/>
    <w:rsid w:val="00F75052"/>
    <w:rsid w:val="00F75A05"/>
    <w:rsid w:val="00F804D3"/>
    <w:rsid w:val="00F817EA"/>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24D2AC-0C4A-4DA0-8FAA-C1BAE3E5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C65AFF"/>
    <w:rPr>
      <w:rFonts w:ascii="標楷體" w:eastAsia="標楷體" w:hAnsi="Arial"/>
      <w:bCs/>
      <w:kern w:val="32"/>
      <w:sz w:val="32"/>
      <w:szCs w:val="36"/>
    </w:rPr>
  </w:style>
  <w:style w:type="paragraph" w:styleId="afa">
    <w:name w:val="footnote text"/>
    <w:aliases w:val="註腳文字 字元 字元 字元,註腳文字 字元 字元"/>
    <w:basedOn w:val="a6"/>
    <w:link w:val="afb"/>
    <w:uiPriority w:val="99"/>
    <w:unhideWhenUsed/>
    <w:rsid w:val="00C65AFF"/>
    <w:pPr>
      <w:snapToGrid w:val="0"/>
      <w:jc w:val="left"/>
    </w:pPr>
    <w:rPr>
      <w:sz w:val="20"/>
    </w:rPr>
  </w:style>
  <w:style w:type="character" w:customStyle="1" w:styleId="afb">
    <w:name w:val="註腳文字 字元"/>
    <w:aliases w:val="註腳文字 字元 字元 字元 字元,註腳文字 字元 字元 字元1"/>
    <w:basedOn w:val="a7"/>
    <w:link w:val="afa"/>
    <w:uiPriority w:val="99"/>
    <w:rsid w:val="00C65AFF"/>
    <w:rPr>
      <w:rFonts w:ascii="標楷體" w:eastAsia="標楷體"/>
      <w:kern w:val="2"/>
    </w:rPr>
  </w:style>
  <w:style w:type="character" w:styleId="afc">
    <w:name w:val="footnote reference"/>
    <w:basedOn w:val="a7"/>
    <w:uiPriority w:val="99"/>
    <w:unhideWhenUsed/>
    <w:rsid w:val="00C65AFF"/>
    <w:rPr>
      <w:vertAlign w:val="superscript"/>
    </w:rPr>
  </w:style>
  <w:style w:type="character" w:customStyle="1" w:styleId="40">
    <w:name w:val="標題 4 字元"/>
    <w:basedOn w:val="a7"/>
    <w:link w:val="4"/>
    <w:rsid w:val="00CF47A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1753-4030-4CD2-A128-18BE1C24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1236</Words>
  <Characters>7051</Characters>
  <Application>Microsoft Office Word</Application>
  <DocSecurity>0</DocSecurity>
  <Lines>58</Lines>
  <Paragraphs>16</Paragraphs>
  <ScaleCrop>false</ScaleCrop>
  <Company>cy</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張蔭廉</dc:creator>
  <cp:lastModifiedBy>林秀珍</cp:lastModifiedBy>
  <cp:revision>3</cp:revision>
  <cp:lastPrinted>2017-08-21T01:46:00Z</cp:lastPrinted>
  <dcterms:created xsi:type="dcterms:W3CDTF">2017-09-13T06:35:00Z</dcterms:created>
  <dcterms:modified xsi:type="dcterms:W3CDTF">2017-09-13T06:35:00Z</dcterms:modified>
</cp:coreProperties>
</file>